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D390B8">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eastAsia="华文中宋"/>
          <w:color w:val="000000"/>
          <w:sz w:val="44"/>
          <w:szCs w:val="44"/>
        </w:rPr>
      </w:pPr>
      <w:r>
        <w:rPr>
          <w:rFonts w:hint="eastAsia" w:eastAsia="华文中宋"/>
          <w:color w:val="000000"/>
          <w:sz w:val="44"/>
          <w:szCs w:val="44"/>
        </w:rPr>
        <w:t>采购文件</w:t>
      </w:r>
    </w:p>
    <w:p w14:paraId="47A4935B">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eastAsia="华文中宋"/>
          <w:color w:val="000000"/>
          <w:sz w:val="44"/>
          <w:szCs w:val="44"/>
        </w:rPr>
      </w:pPr>
    </w:p>
    <w:p w14:paraId="5AB847D6">
      <w:pPr>
        <w:keepNext w:val="0"/>
        <w:keepLines w:val="0"/>
        <w:pageBreakBefore w:val="0"/>
        <w:widowControl w:val="0"/>
        <w:kinsoku/>
        <w:wordWrap/>
        <w:overflowPunct/>
        <w:topLinePunct w:val="0"/>
        <w:bidi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东莞市新东欣环保投资有限公司</w:t>
      </w:r>
      <w:r>
        <w:rPr>
          <w:rFonts w:hint="eastAsia" w:ascii="仿宋_GB2312" w:hAnsi="仿宋_GB2312" w:eastAsia="仿宋_GB2312" w:cs="仿宋_GB2312"/>
          <w:color w:val="000000"/>
          <w:sz w:val="32"/>
          <w:szCs w:val="32"/>
          <w:lang w:val="en-US" w:eastAsia="zh-CN"/>
        </w:rPr>
        <w:t>开展废水车间蒸发器清洗服务项目</w:t>
      </w:r>
      <w:r>
        <w:rPr>
          <w:rFonts w:hint="eastAsia" w:ascii="仿宋_GB2312" w:hAnsi="仿宋_GB2312" w:eastAsia="仿宋_GB2312" w:cs="仿宋_GB2312"/>
          <w:color w:val="000000"/>
          <w:sz w:val="32"/>
          <w:szCs w:val="32"/>
        </w:rPr>
        <w:t>采购工作，现将相关情况介绍如下：</w:t>
      </w:r>
    </w:p>
    <w:p w14:paraId="780F1895">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outlineLvl w:val="1"/>
        <w:rPr>
          <w:rFonts w:hint="eastAsia" w:ascii="黑体" w:hAnsi="黑体" w:eastAsia="黑体" w:cs="黑体"/>
          <w:color w:val="000000"/>
          <w:sz w:val="32"/>
          <w:szCs w:val="32"/>
        </w:rPr>
      </w:pPr>
      <w:r>
        <w:rPr>
          <w:rFonts w:hint="eastAsia" w:ascii="黑体" w:hAnsi="黑体" w:eastAsia="黑体" w:cs="黑体"/>
          <w:color w:val="000000"/>
          <w:sz w:val="32"/>
          <w:szCs w:val="32"/>
        </w:rPr>
        <w:t>一、项目名称及内容</w:t>
      </w:r>
    </w:p>
    <w:p w14:paraId="0D368C8C">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default" w:ascii="仿宋_GB2312" w:hAnsi="仿宋_GB2312" w:eastAsia="仿宋_GB2312" w:cs="仿宋_GB2312"/>
          <w:color w:val="000000"/>
          <w:sz w:val="32"/>
          <w:szCs w:val="32"/>
          <w:u w:val="single"/>
          <w:lang w:val="en-US" w:eastAsia="zh-CN"/>
        </w:rPr>
      </w:pPr>
      <w:r>
        <w:rPr>
          <w:rFonts w:hint="eastAsia" w:ascii="仿宋_GB2312" w:hAnsi="仿宋_GB2312" w:eastAsia="仿宋_GB2312" w:cs="仿宋_GB2312"/>
          <w:color w:val="000000"/>
          <w:sz w:val="32"/>
          <w:szCs w:val="32"/>
        </w:rPr>
        <w:t>1、项目名称：</w:t>
      </w:r>
      <w:r>
        <w:rPr>
          <w:rFonts w:hint="eastAsia" w:ascii="仿宋_GB2312" w:hAnsi="仿宋_GB2312" w:eastAsia="仿宋_GB2312" w:cs="仿宋_GB2312"/>
          <w:color w:val="000000"/>
          <w:sz w:val="32"/>
          <w:szCs w:val="32"/>
          <w:u w:val="single"/>
        </w:rPr>
        <w:t>东莞市新东欣环保投资有限公司</w:t>
      </w:r>
      <w:r>
        <w:rPr>
          <w:rFonts w:hint="eastAsia" w:ascii="仿宋_GB2312" w:hAnsi="仿宋_GB2312" w:eastAsia="仿宋_GB2312" w:cs="仿宋_GB2312"/>
          <w:color w:val="000000"/>
          <w:sz w:val="32"/>
          <w:szCs w:val="32"/>
          <w:u w:val="single"/>
          <w:lang w:val="en-US" w:eastAsia="zh-CN"/>
        </w:rPr>
        <w:t>废水车间蒸发器清洗服务项目</w:t>
      </w:r>
    </w:p>
    <w:p w14:paraId="06128506">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2、项目地点：</w:t>
      </w:r>
      <w:r>
        <w:rPr>
          <w:rFonts w:hint="eastAsia" w:ascii="仿宋_GB2312" w:hAnsi="仿宋_GB2312" w:eastAsia="仿宋_GB2312" w:cs="仿宋_GB2312"/>
          <w:color w:val="000000"/>
          <w:sz w:val="32"/>
          <w:szCs w:val="32"/>
          <w:u w:val="single"/>
        </w:rPr>
        <w:t>东莞市新东欣环保投资有限公司</w:t>
      </w:r>
    </w:p>
    <w:p w14:paraId="2B62D796">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rPr>
        <w:t>3、服务时间：</w:t>
      </w:r>
      <w:r>
        <w:rPr>
          <w:rFonts w:hint="eastAsia" w:ascii="仿宋_GB2312" w:hAnsi="仿宋_GB2312" w:eastAsia="仿宋_GB2312" w:cs="仿宋_GB2312"/>
          <w:color w:val="000000"/>
          <w:sz w:val="32"/>
          <w:szCs w:val="32"/>
          <w:u w:val="single"/>
          <w:lang w:val="en-US" w:eastAsia="zh-CN"/>
        </w:rPr>
        <w:t>合同期为1年，自合同签订之日起，成交人根据采购人进场通知之日起约定时间内完成设备的清洗并通过验收，其中：加热器设备2个日历日，预热器设备1天，分离器设备1天；如设备堵塞严重的，经采购人确定且同意后可延长工期2天，但费用不做调整。</w:t>
      </w:r>
    </w:p>
    <w:p w14:paraId="7F88700F">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outlineLvl w:val="1"/>
        <w:rPr>
          <w:rFonts w:hint="eastAsia" w:ascii="黑体" w:hAnsi="黑体" w:eastAsia="黑体" w:cs="黑体"/>
          <w:color w:val="000000"/>
          <w:sz w:val="32"/>
          <w:szCs w:val="32"/>
        </w:rPr>
      </w:pPr>
      <w:r>
        <w:rPr>
          <w:rFonts w:hint="eastAsia" w:ascii="黑体" w:hAnsi="黑体" w:eastAsia="黑体" w:cs="黑体"/>
          <w:color w:val="000000"/>
          <w:sz w:val="32"/>
          <w:szCs w:val="32"/>
        </w:rPr>
        <w:t>二、项目发布</w:t>
      </w:r>
    </w:p>
    <w:p w14:paraId="30044E84">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本采购项目信息在东莞实业投资控股集团有限公司网站（http://www.dgsy.com.cn/）</w:t>
      </w:r>
      <w:r>
        <w:rPr>
          <w:rFonts w:hint="eastAsia" w:ascii="仿宋_GB2312" w:hAnsi="仿宋_GB2312" w:eastAsia="仿宋_GB2312" w:cs="仿宋_GB2312"/>
          <w:sz w:val="32"/>
          <w:szCs w:val="32"/>
        </w:rPr>
        <w:t>和广东东实环境股份有限公司招采平台(https://pur.yonyou.com/DGDSXNY)上发布</w:t>
      </w:r>
      <w:r>
        <w:rPr>
          <w:rFonts w:hint="eastAsia" w:ascii="仿宋_GB2312" w:hAnsi="仿宋_GB2312" w:eastAsia="仿宋_GB2312" w:cs="仿宋_GB2312"/>
          <w:color w:val="000000"/>
          <w:sz w:val="32"/>
          <w:szCs w:val="32"/>
        </w:rPr>
        <w:t>。</w:t>
      </w:r>
    </w:p>
    <w:p w14:paraId="007B7CD6">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outlineLvl w:val="1"/>
        <w:rPr>
          <w:rFonts w:hint="eastAsia" w:ascii="黑体" w:hAnsi="黑体" w:eastAsia="黑体" w:cs="黑体"/>
          <w:color w:val="000000"/>
          <w:sz w:val="32"/>
          <w:szCs w:val="32"/>
        </w:rPr>
      </w:pPr>
      <w:r>
        <w:rPr>
          <w:rFonts w:hint="eastAsia" w:ascii="黑体" w:hAnsi="黑体" w:eastAsia="黑体" w:cs="黑体"/>
          <w:color w:val="000000"/>
          <w:sz w:val="32"/>
          <w:szCs w:val="32"/>
        </w:rPr>
        <w:sym w:font="Wingdings" w:char="F0AB"/>
      </w:r>
      <w:r>
        <w:rPr>
          <w:rFonts w:hint="eastAsia" w:ascii="黑体" w:hAnsi="黑体" w:eastAsia="黑体" w:cs="黑体"/>
          <w:color w:val="000000"/>
          <w:sz w:val="32"/>
          <w:szCs w:val="32"/>
        </w:rPr>
        <w:t>三、响应人资格要求</w:t>
      </w:r>
    </w:p>
    <w:p w14:paraId="0EAC3C39">
      <w:pPr>
        <w:keepNext w:val="0"/>
        <w:keepLines w:val="0"/>
        <w:pageBreakBefore w:val="0"/>
        <w:widowControl w:val="0"/>
        <w:kinsoku/>
        <w:wordWrap/>
        <w:overflowPunct/>
        <w:topLinePunct w:val="0"/>
        <w:bidi w:val="0"/>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响应人须为在中华人民共和国境内登记注册的具有独立承担民事责任能力的法人或其他组织。【提供《营业执照》复印件（加盖公章）或《事业单位法人证书》复印件（加盖公章）或其他主体证书复印件（加盖公章）】</w:t>
      </w:r>
      <w:r>
        <w:rPr>
          <w:rFonts w:hint="eastAsia" w:ascii="仿宋_GB2312" w:hAnsi="仿宋_GB2312" w:eastAsia="仿宋_GB2312" w:cs="仿宋_GB2312"/>
          <w:sz w:val="32"/>
          <w:szCs w:val="32"/>
          <w:lang w:eastAsia="zh-CN"/>
        </w:rPr>
        <w:t>；</w:t>
      </w:r>
    </w:p>
    <w:p w14:paraId="722D39A6">
      <w:pPr>
        <w:keepNext w:val="0"/>
        <w:keepLines w:val="0"/>
        <w:pageBreakBefore w:val="0"/>
        <w:widowControl w:val="0"/>
        <w:kinsoku/>
        <w:wordWrap/>
        <w:overflowPunct/>
        <w:topLinePunct w:val="0"/>
        <w:bidi w:val="0"/>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响应人</w:t>
      </w:r>
      <w:r>
        <w:rPr>
          <w:rFonts w:hint="eastAsia" w:ascii="仿宋_GB2312" w:hAnsi="仿宋_GB2312" w:eastAsia="仿宋_GB2312" w:cs="仿宋_GB2312"/>
          <w:sz w:val="32"/>
          <w:szCs w:val="32"/>
        </w:rPr>
        <w:t>必须具有</w:t>
      </w:r>
      <w:r>
        <w:rPr>
          <w:rFonts w:hint="eastAsia" w:ascii="仿宋_GB2312" w:hAnsi="仿宋_GB2312" w:eastAsia="仿宋_GB2312" w:cs="仿宋_GB2312"/>
          <w:sz w:val="32"/>
          <w:szCs w:val="32"/>
          <w:lang w:val="en-US" w:eastAsia="zh-CN"/>
        </w:rPr>
        <w:t>蒸发器或相近设备清洗业绩【</w:t>
      </w:r>
      <w:r>
        <w:rPr>
          <w:rFonts w:hint="eastAsia" w:ascii="仿宋_GB2312" w:hAnsi="仿宋_GB2312" w:eastAsia="仿宋_GB2312" w:cs="仿宋_GB2312"/>
          <w:strike w:val="0"/>
          <w:sz w:val="32"/>
          <w:szCs w:val="32"/>
          <w:lang w:val="en-US" w:eastAsia="zh-CN"/>
        </w:rPr>
        <w:t>不少于1个，提供合同</w:t>
      </w:r>
      <w:r>
        <w:rPr>
          <w:rFonts w:hint="eastAsia" w:ascii="仿宋_GB2312" w:hAnsi="仿宋_GB2312" w:eastAsia="仿宋_GB2312" w:cs="仿宋_GB2312"/>
          <w:b/>
          <w:bCs/>
          <w:strike w:val="0"/>
          <w:sz w:val="32"/>
          <w:szCs w:val="32"/>
          <w:lang w:val="en-US" w:eastAsia="zh-CN"/>
        </w:rPr>
        <w:t>主要页复印件</w:t>
      </w:r>
      <w:r>
        <w:rPr>
          <w:rFonts w:hint="eastAsia" w:ascii="仿宋_GB2312" w:hAnsi="仿宋_GB2312" w:eastAsia="仿宋_GB2312" w:cs="仿宋_GB2312"/>
          <w:strike w:val="0"/>
          <w:sz w:val="32"/>
          <w:szCs w:val="32"/>
          <w:lang w:val="en-US" w:eastAsia="zh-CN"/>
        </w:rPr>
        <w:t>（包含但不限于合同首页、合同金额页、合同签字页等）及该合同期内任意一期</w:t>
      </w:r>
      <w:r>
        <w:rPr>
          <w:rFonts w:hint="eastAsia" w:ascii="仿宋_GB2312" w:hAnsi="仿宋_GB2312" w:eastAsia="仿宋_GB2312" w:cs="仿宋_GB2312"/>
          <w:b/>
          <w:bCs/>
          <w:strike w:val="0"/>
          <w:sz w:val="32"/>
          <w:szCs w:val="32"/>
          <w:lang w:val="en-US" w:eastAsia="zh-CN"/>
        </w:rPr>
        <w:t>已开具的发票复印件</w:t>
      </w:r>
      <w:r>
        <w:rPr>
          <w:rFonts w:hint="eastAsia" w:ascii="仿宋_GB2312" w:hAnsi="仿宋_GB2312" w:eastAsia="仿宋_GB2312" w:cs="仿宋_GB2312"/>
          <w:strike w:val="0"/>
          <w:sz w:val="32"/>
          <w:szCs w:val="32"/>
          <w:lang w:val="en-US" w:eastAsia="zh-CN"/>
        </w:rPr>
        <w:t>加盖公章</w:t>
      </w:r>
      <w:r>
        <w:rPr>
          <w:rFonts w:hint="eastAsia" w:ascii="仿宋_GB2312" w:hAnsi="仿宋_GB2312" w:eastAsia="仿宋_GB2312" w:cs="仿宋_GB2312"/>
          <w:sz w:val="32"/>
          <w:szCs w:val="32"/>
          <w:lang w:val="en-US" w:eastAsia="zh-CN"/>
        </w:rPr>
        <w:t>】；</w:t>
      </w:r>
    </w:p>
    <w:p w14:paraId="65BD3DEB">
      <w:pPr>
        <w:keepNext w:val="0"/>
        <w:keepLines w:val="0"/>
        <w:pageBreakBefore w:val="0"/>
        <w:widowControl w:val="0"/>
        <w:kinsoku/>
        <w:wordWrap/>
        <w:overflowPunct/>
        <w:topLinePunct w:val="0"/>
        <w:bidi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未被列入东实环境及下属企业相关领域黑名单。</w:t>
      </w:r>
    </w:p>
    <w:p w14:paraId="7B324AA7">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outlineLvl w:val="1"/>
        <w:rPr>
          <w:rFonts w:hint="eastAsia" w:ascii="黑体" w:hAnsi="黑体" w:eastAsia="黑体" w:cs="黑体"/>
          <w:color w:val="000000"/>
          <w:sz w:val="32"/>
          <w:szCs w:val="32"/>
        </w:rPr>
      </w:pPr>
      <w:r>
        <w:rPr>
          <w:rFonts w:hint="eastAsia" w:ascii="黑体" w:hAnsi="黑体" w:eastAsia="黑体" w:cs="黑体"/>
          <w:color w:val="000000"/>
          <w:sz w:val="32"/>
          <w:szCs w:val="32"/>
        </w:rPr>
        <w:t>四、采购内容及要求</w:t>
      </w:r>
    </w:p>
    <w:p w14:paraId="359F283A">
      <w:pPr>
        <w:pStyle w:val="21"/>
        <w:keepNext w:val="0"/>
        <w:keepLines w:val="0"/>
        <w:pageBreakBefore w:val="0"/>
        <w:widowControl w:val="0"/>
        <w:kinsoku/>
        <w:wordWrap/>
        <w:overflowPunct/>
        <w:topLinePunct w:val="0"/>
        <w:bidi w:val="0"/>
        <w:spacing w:line="560" w:lineRule="exact"/>
        <w:ind w:firstLine="640" w:firstLineChars="200"/>
        <w:jc w:val="both"/>
        <w:textAlignment w:val="auto"/>
        <w:rPr>
          <w:rFonts w:hint="default" w:ascii="仿宋_GB2312" w:hAnsi="仿宋_GB2312" w:eastAsia="仿宋_GB2312" w:cs="仿宋_GB2312"/>
          <w:b/>
          <w:bCs/>
          <w:kern w:val="2"/>
          <w:sz w:val="32"/>
          <w:szCs w:val="32"/>
          <w:lang w:val="en-US" w:eastAsia="zh-CN"/>
        </w:rPr>
      </w:pPr>
      <w:r>
        <w:rPr>
          <w:rFonts w:hint="eastAsia" w:ascii="仿宋_GB2312" w:hAnsi="仿宋_GB2312" w:eastAsia="仿宋_GB2312" w:cs="仿宋_GB2312"/>
          <w:b/>
          <w:bCs/>
          <w:kern w:val="2"/>
          <w:sz w:val="32"/>
          <w:szCs w:val="32"/>
          <w:lang w:val="en-US" w:eastAsia="zh-CN"/>
        </w:rPr>
        <w:t>（一）服务内容</w:t>
      </w:r>
    </w:p>
    <w:p w14:paraId="04723978">
      <w:pPr>
        <w:pStyle w:val="21"/>
        <w:keepNext w:val="0"/>
        <w:keepLines w:val="0"/>
        <w:pageBreakBefore w:val="0"/>
        <w:widowControl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合同期内，成交人根据采购人通知要求完成三效蒸发系统清洗工作，现场共有3套三效蒸发系统，每套三效蒸发系统包括3台加热器、3台分离器和4台预热器，具体内容包括：</w:t>
      </w:r>
    </w:p>
    <w:tbl>
      <w:tblPr>
        <w:tblStyle w:val="14"/>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77"/>
        <w:gridCol w:w="1319"/>
        <w:gridCol w:w="823"/>
        <w:gridCol w:w="2763"/>
        <w:gridCol w:w="1408"/>
        <w:gridCol w:w="2123"/>
      </w:tblGrid>
      <w:tr w14:paraId="2D430E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11C57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9CE05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作业位置</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FF390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15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F0BE0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内容</w:t>
            </w:r>
            <w:r>
              <w:rPr>
                <w:rFonts w:hint="default" w:ascii="Times New Roman" w:hAnsi="Times New Roman" w:eastAsia="宋体" w:cs="Times New Roman"/>
                <w:b/>
                <w:bCs/>
                <w:i w:val="0"/>
                <w:iCs w:val="0"/>
                <w:color w:val="000000"/>
                <w:kern w:val="0"/>
                <w:sz w:val="22"/>
                <w:szCs w:val="22"/>
                <w:u w:val="none"/>
                <w:lang w:val="en-US" w:eastAsia="zh-CN" w:bidi="ar"/>
              </w:rPr>
              <w:t>/</w:t>
            </w:r>
            <w:r>
              <w:rPr>
                <w:rFonts w:hint="eastAsia" w:ascii="宋体" w:hAnsi="宋体" w:eastAsia="宋体" w:cs="宋体"/>
                <w:b/>
                <w:bCs/>
                <w:i w:val="0"/>
                <w:iCs w:val="0"/>
                <w:color w:val="000000"/>
                <w:kern w:val="0"/>
                <w:sz w:val="22"/>
                <w:szCs w:val="22"/>
                <w:u w:val="none"/>
                <w:lang w:val="en-US" w:eastAsia="zh-CN" w:bidi="ar"/>
              </w:rPr>
              <w:t>范围</w:t>
            </w:r>
          </w:p>
        </w:tc>
        <w:tc>
          <w:tcPr>
            <w:tcW w:w="7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396A9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作业内容</w:t>
            </w:r>
          </w:p>
        </w:tc>
        <w:tc>
          <w:tcPr>
            <w:tcW w:w="11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ECCA2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说明</w:t>
            </w:r>
          </w:p>
        </w:tc>
      </w:tr>
      <w:tr w14:paraId="0520CA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3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50E76C">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w:t>
            </w:r>
          </w:p>
        </w:tc>
        <w:tc>
          <w:tcPr>
            <w:tcW w:w="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68E3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加热器</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B4A0BD">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9</w:t>
            </w:r>
            <w:r>
              <w:rPr>
                <w:rFonts w:hint="eastAsia" w:ascii="宋体" w:hAnsi="宋体" w:eastAsia="宋体" w:cs="宋体"/>
                <w:i w:val="0"/>
                <w:iCs w:val="0"/>
                <w:color w:val="000000"/>
                <w:kern w:val="0"/>
                <w:sz w:val="22"/>
                <w:szCs w:val="22"/>
                <w:u w:val="none"/>
                <w:lang w:val="en-US" w:eastAsia="zh-CN" w:bidi="ar"/>
              </w:rPr>
              <w:t>台</w:t>
            </w:r>
          </w:p>
        </w:tc>
        <w:tc>
          <w:tcPr>
            <w:tcW w:w="15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2A4348">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单个加热器</w:t>
            </w:r>
            <w:r>
              <w:rPr>
                <w:rFonts w:hint="default" w:ascii="Times New Roman" w:hAnsi="Times New Roman" w:eastAsia="宋体" w:cs="Times New Roman"/>
                <w:i w:val="0"/>
                <w:iCs w:val="0"/>
                <w:color w:val="000000"/>
                <w:kern w:val="0"/>
                <w:sz w:val="22"/>
                <w:szCs w:val="22"/>
                <w:u w:val="none"/>
                <w:lang w:val="en-US" w:eastAsia="zh-CN" w:bidi="ar"/>
              </w:rPr>
              <w:t>415</w:t>
            </w:r>
            <w:r>
              <w:rPr>
                <w:rFonts w:hint="eastAsia" w:ascii="宋体" w:hAnsi="宋体" w:eastAsia="宋体" w:cs="宋体"/>
                <w:i w:val="0"/>
                <w:iCs w:val="0"/>
                <w:color w:val="000000"/>
                <w:kern w:val="0"/>
                <w:sz w:val="22"/>
                <w:szCs w:val="22"/>
                <w:u w:val="none"/>
                <w:lang w:val="en-US" w:eastAsia="zh-CN" w:bidi="ar"/>
              </w:rPr>
              <w:t>根列管，直径</w:t>
            </w:r>
            <w:r>
              <w:rPr>
                <w:rFonts w:hint="default" w:ascii="Times New Roman" w:hAnsi="Times New Roman" w:eastAsia="宋体" w:cs="Times New Roman"/>
                <w:i w:val="0"/>
                <w:iCs w:val="0"/>
                <w:color w:val="000000"/>
                <w:kern w:val="0"/>
                <w:sz w:val="22"/>
                <w:szCs w:val="22"/>
                <w:u w:val="none"/>
                <w:lang w:val="en-US" w:eastAsia="zh-CN" w:bidi="ar"/>
              </w:rPr>
              <w:t>32mm</w:t>
            </w:r>
            <w:r>
              <w:rPr>
                <w:rFonts w:hint="eastAsia" w:ascii="宋体" w:hAnsi="宋体" w:eastAsia="宋体" w:cs="宋体"/>
                <w:i w:val="0"/>
                <w:iCs w:val="0"/>
                <w:color w:val="000000"/>
                <w:kern w:val="0"/>
                <w:sz w:val="22"/>
                <w:szCs w:val="22"/>
                <w:u w:val="none"/>
                <w:lang w:val="en-US" w:eastAsia="zh-CN" w:bidi="ar"/>
              </w:rPr>
              <w:t>，长度</w:t>
            </w:r>
            <w:r>
              <w:rPr>
                <w:rFonts w:hint="default" w:ascii="Times New Roman" w:hAnsi="Times New Roman" w:eastAsia="宋体" w:cs="Times New Roman"/>
                <w:i w:val="0"/>
                <w:iCs w:val="0"/>
                <w:color w:val="000000"/>
                <w:kern w:val="0"/>
                <w:sz w:val="22"/>
                <w:szCs w:val="22"/>
                <w:u w:val="none"/>
                <w:lang w:val="en-US" w:eastAsia="zh-CN" w:bidi="ar"/>
              </w:rPr>
              <w:t>6m</w:t>
            </w:r>
          </w:p>
        </w:tc>
        <w:tc>
          <w:tcPr>
            <w:tcW w:w="7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F836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通堵</w:t>
            </w:r>
            <w:r>
              <w:rPr>
                <w:rFonts w:hint="default" w:ascii="Times New Roman" w:hAnsi="Times New Roman" w:eastAsia="宋体" w:cs="Times New Roman"/>
                <w:i w:val="0"/>
                <w:iCs w:val="0"/>
                <w:color w:val="000000"/>
                <w:kern w:val="0"/>
                <w:sz w:val="22"/>
                <w:szCs w:val="22"/>
                <w:u w:val="none"/>
                <w:lang w:val="en-US" w:eastAsia="zh-CN" w:bidi="ar"/>
              </w:rPr>
              <w:t>&amp;</w:t>
            </w:r>
            <w:r>
              <w:rPr>
                <w:rFonts w:hint="eastAsia" w:ascii="宋体" w:hAnsi="宋体" w:eastAsia="宋体" w:cs="宋体"/>
                <w:i w:val="0"/>
                <w:iCs w:val="0"/>
                <w:color w:val="000000"/>
                <w:kern w:val="0"/>
                <w:sz w:val="22"/>
                <w:szCs w:val="22"/>
                <w:u w:val="none"/>
                <w:lang w:val="en-US" w:eastAsia="zh-CN" w:bidi="ar"/>
              </w:rPr>
              <w:t>清洗</w:t>
            </w:r>
          </w:p>
        </w:tc>
        <w:tc>
          <w:tcPr>
            <w:tcW w:w="116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B5D3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把列管或管路上附着的盐垢清理完成，可看见列管或管道内部原有金属颜色</w:t>
            </w:r>
          </w:p>
        </w:tc>
      </w:tr>
      <w:tr w14:paraId="494691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3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7A31AF">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w:t>
            </w:r>
          </w:p>
        </w:tc>
        <w:tc>
          <w:tcPr>
            <w:tcW w:w="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DFA9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分离器</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5561C4">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9</w:t>
            </w:r>
            <w:r>
              <w:rPr>
                <w:rFonts w:hint="eastAsia" w:ascii="宋体" w:hAnsi="宋体" w:eastAsia="宋体" w:cs="宋体"/>
                <w:i w:val="0"/>
                <w:iCs w:val="0"/>
                <w:color w:val="000000"/>
                <w:kern w:val="0"/>
                <w:sz w:val="22"/>
                <w:szCs w:val="22"/>
                <w:u w:val="none"/>
                <w:lang w:val="en-US" w:eastAsia="zh-CN" w:bidi="ar"/>
              </w:rPr>
              <w:t>台</w:t>
            </w:r>
          </w:p>
        </w:tc>
        <w:tc>
          <w:tcPr>
            <w:tcW w:w="15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6C341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一效：Ø1400*6*5000mm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二效：Ø1800*6*5000mm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三效：Ø2200*8*5000mm</w:t>
            </w:r>
          </w:p>
        </w:tc>
        <w:tc>
          <w:tcPr>
            <w:tcW w:w="7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5A04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清洗</w:t>
            </w:r>
          </w:p>
        </w:tc>
        <w:tc>
          <w:tcPr>
            <w:tcW w:w="11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6CB87E">
            <w:pPr>
              <w:jc w:val="center"/>
              <w:rPr>
                <w:rFonts w:hint="eastAsia" w:ascii="宋体" w:hAnsi="宋体" w:eastAsia="宋体" w:cs="宋体"/>
                <w:i w:val="0"/>
                <w:iCs w:val="0"/>
                <w:color w:val="000000"/>
                <w:sz w:val="22"/>
                <w:szCs w:val="22"/>
                <w:u w:val="none"/>
              </w:rPr>
            </w:pPr>
          </w:p>
        </w:tc>
      </w:tr>
      <w:tr w14:paraId="547C7D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3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A5225A">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w:t>
            </w:r>
          </w:p>
        </w:tc>
        <w:tc>
          <w:tcPr>
            <w:tcW w:w="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F7EF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预热器</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97CED2">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12</w:t>
            </w:r>
            <w:r>
              <w:rPr>
                <w:rFonts w:hint="eastAsia" w:ascii="宋体" w:hAnsi="宋体" w:eastAsia="宋体" w:cs="宋体"/>
                <w:i w:val="0"/>
                <w:iCs w:val="0"/>
                <w:color w:val="000000"/>
                <w:kern w:val="0"/>
                <w:sz w:val="22"/>
                <w:szCs w:val="22"/>
                <w:u w:val="none"/>
                <w:lang w:val="en-US" w:eastAsia="zh-CN" w:bidi="ar"/>
              </w:rPr>
              <w:t>台</w:t>
            </w:r>
          </w:p>
        </w:tc>
        <w:tc>
          <w:tcPr>
            <w:tcW w:w="15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F1B67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单个预热器</w:t>
            </w:r>
            <w:r>
              <w:rPr>
                <w:rFonts w:hint="default" w:ascii="Times New Roman" w:hAnsi="Times New Roman" w:eastAsia="宋体" w:cs="Times New Roman"/>
                <w:i w:val="0"/>
                <w:iCs w:val="0"/>
                <w:color w:val="000000"/>
                <w:kern w:val="0"/>
                <w:sz w:val="22"/>
                <w:szCs w:val="22"/>
                <w:u w:val="none"/>
                <w:lang w:val="en-US" w:eastAsia="zh-CN" w:bidi="ar"/>
              </w:rPr>
              <w:t>85</w:t>
            </w:r>
            <w:r>
              <w:rPr>
                <w:rFonts w:hint="eastAsia" w:ascii="宋体" w:hAnsi="宋体" w:eastAsia="宋体" w:cs="宋体"/>
                <w:i w:val="0"/>
                <w:iCs w:val="0"/>
                <w:color w:val="000000"/>
                <w:kern w:val="0"/>
                <w:sz w:val="22"/>
                <w:szCs w:val="22"/>
                <w:u w:val="none"/>
                <w:lang w:val="en-US" w:eastAsia="zh-CN" w:bidi="ar"/>
              </w:rPr>
              <w:t>根列管，直径</w:t>
            </w:r>
            <w:r>
              <w:rPr>
                <w:rFonts w:hint="default" w:ascii="Times New Roman" w:hAnsi="Times New Roman" w:eastAsia="宋体" w:cs="Times New Roman"/>
                <w:i w:val="0"/>
                <w:iCs w:val="0"/>
                <w:color w:val="000000"/>
                <w:kern w:val="0"/>
                <w:sz w:val="22"/>
                <w:szCs w:val="22"/>
                <w:u w:val="none"/>
                <w:lang w:val="en-US" w:eastAsia="zh-CN" w:bidi="ar"/>
              </w:rPr>
              <w:t>32mm</w:t>
            </w:r>
            <w:r>
              <w:rPr>
                <w:rFonts w:hint="eastAsia" w:ascii="宋体" w:hAnsi="宋体" w:eastAsia="宋体" w:cs="宋体"/>
                <w:i w:val="0"/>
                <w:iCs w:val="0"/>
                <w:color w:val="000000"/>
                <w:kern w:val="0"/>
                <w:sz w:val="22"/>
                <w:szCs w:val="22"/>
                <w:u w:val="none"/>
                <w:lang w:val="en-US" w:eastAsia="zh-CN" w:bidi="ar"/>
              </w:rPr>
              <w:t>，长度</w:t>
            </w:r>
            <w:r>
              <w:rPr>
                <w:rFonts w:hint="default" w:ascii="Times New Roman" w:hAnsi="Times New Roman" w:eastAsia="宋体" w:cs="Times New Roman"/>
                <w:i w:val="0"/>
                <w:iCs w:val="0"/>
                <w:color w:val="000000"/>
                <w:kern w:val="0"/>
                <w:sz w:val="22"/>
                <w:szCs w:val="22"/>
                <w:u w:val="none"/>
                <w:lang w:val="en-US" w:eastAsia="zh-CN" w:bidi="ar"/>
              </w:rPr>
              <w:t>6m</w:t>
            </w:r>
          </w:p>
        </w:tc>
        <w:tc>
          <w:tcPr>
            <w:tcW w:w="7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40C9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通堵</w:t>
            </w:r>
            <w:r>
              <w:rPr>
                <w:rFonts w:hint="default" w:ascii="Times New Roman" w:hAnsi="Times New Roman" w:eastAsia="宋体" w:cs="Times New Roman"/>
                <w:i w:val="0"/>
                <w:iCs w:val="0"/>
                <w:color w:val="000000"/>
                <w:kern w:val="0"/>
                <w:sz w:val="22"/>
                <w:szCs w:val="22"/>
                <w:u w:val="none"/>
                <w:lang w:val="en-US" w:eastAsia="zh-CN" w:bidi="ar"/>
              </w:rPr>
              <w:t>&amp;</w:t>
            </w:r>
            <w:r>
              <w:rPr>
                <w:rFonts w:hint="eastAsia" w:ascii="宋体" w:hAnsi="宋体" w:eastAsia="宋体" w:cs="宋体"/>
                <w:i w:val="0"/>
                <w:iCs w:val="0"/>
                <w:color w:val="000000"/>
                <w:kern w:val="0"/>
                <w:sz w:val="22"/>
                <w:szCs w:val="22"/>
                <w:u w:val="none"/>
                <w:lang w:val="en-US" w:eastAsia="zh-CN" w:bidi="ar"/>
              </w:rPr>
              <w:t>清洗</w:t>
            </w:r>
          </w:p>
        </w:tc>
        <w:tc>
          <w:tcPr>
            <w:tcW w:w="11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FEAB19">
            <w:pPr>
              <w:jc w:val="center"/>
              <w:rPr>
                <w:rFonts w:hint="eastAsia" w:ascii="宋体" w:hAnsi="宋体" w:eastAsia="宋体" w:cs="宋体"/>
                <w:i w:val="0"/>
                <w:iCs w:val="0"/>
                <w:color w:val="000000"/>
                <w:sz w:val="22"/>
                <w:szCs w:val="22"/>
                <w:u w:val="none"/>
              </w:rPr>
            </w:pPr>
          </w:p>
        </w:tc>
      </w:tr>
    </w:tbl>
    <w:p w14:paraId="5DA687CD">
      <w:pPr>
        <w:pStyle w:val="21"/>
        <w:keepNext w:val="0"/>
        <w:keepLines w:val="0"/>
        <w:pageBreakBefore w:val="0"/>
        <w:widowControl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b/>
          <w:bCs/>
          <w:kern w:val="2"/>
          <w:sz w:val="32"/>
          <w:szCs w:val="32"/>
          <w:lang w:val="en-US" w:eastAsia="zh-CN"/>
        </w:rPr>
      </w:pPr>
      <w:r>
        <w:rPr>
          <w:rFonts w:hint="eastAsia" w:ascii="仿宋_GB2312" w:hAnsi="仿宋_GB2312" w:eastAsia="仿宋_GB2312" w:cs="仿宋_GB2312"/>
          <w:b/>
          <w:bCs/>
          <w:kern w:val="2"/>
          <w:sz w:val="32"/>
          <w:szCs w:val="32"/>
          <w:lang w:val="en-US" w:eastAsia="zh-CN"/>
        </w:rPr>
        <w:t>（1）作业场所内容示例</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0"/>
        <w:gridCol w:w="2842"/>
      </w:tblGrid>
      <w:tr w14:paraId="5656B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Align w:val="center"/>
          </w:tcPr>
          <w:p w14:paraId="2AEBA2FF">
            <w:pPr>
              <w:pStyle w:val="2"/>
              <w:tabs>
                <w:tab w:val="left" w:pos="239"/>
                <w:tab w:val="center" w:pos="2003"/>
              </w:tabs>
              <w:ind w:left="0" w:leftChars="0" w:firstLine="0" w:firstLineChars="0"/>
              <w:jc w:val="left"/>
              <w:rPr>
                <w:rFonts w:hint="eastAsia" w:ascii="Times New Roman" w:hAnsi="Times New Roman" w:eastAsia="宋体" w:cs="Times New Roman"/>
                <w:sz w:val="28"/>
                <w:szCs w:val="28"/>
                <w:vertAlign w:val="baseline"/>
                <w:lang w:eastAsia="zh-CN"/>
              </w:rPr>
            </w:pPr>
            <w:r>
              <w:rPr>
                <w:rFonts w:hint="eastAsia" w:ascii="Times New Roman" w:hAnsi="Times New Roman" w:eastAsia="宋体" w:cs="Times New Roman"/>
                <w:sz w:val="28"/>
                <w:szCs w:val="28"/>
                <w:vertAlign w:val="baseline"/>
                <w:lang w:eastAsia="zh-CN"/>
              </w:rPr>
              <w:drawing>
                <wp:inline distT="0" distB="0" distL="114300" distR="114300">
                  <wp:extent cx="1622425" cy="2160270"/>
                  <wp:effectExtent l="0" t="0" r="15875" b="11430"/>
                  <wp:docPr id="9" name="图片 9"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11"/>
                          <pic:cNvPicPr>
                            <a:picLocks noChangeAspect="1"/>
                          </pic:cNvPicPr>
                        </pic:nvPicPr>
                        <pic:blipFill>
                          <a:blip r:embed="rId6"/>
                          <a:stretch>
                            <a:fillRect/>
                          </a:stretch>
                        </pic:blipFill>
                        <pic:spPr>
                          <a:xfrm>
                            <a:off x="0" y="0"/>
                            <a:ext cx="1622425" cy="2160270"/>
                          </a:xfrm>
                          <a:prstGeom prst="rect">
                            <a:avLst/>
                          </a:prstGeom>
                        </pic:spPr>
                      </pic:pic>
                    </a:graphicData>
                  </a:graphic>
                </wp:inline>
              </w:drawing>
            </w:r>
          </w:p>
        </w:tc>
        <w:tc>
          <w:tcPr>
            <w:tcW w:w="2840" w:type="dxa"/>
            <w:vAlign w:val="center"/>
          </w:tcPr>
          <w:p w14:paraId="402AE89E">
            <w:pPr>
              <w:pStyle w:val="2"/>
              <w:ind w:left="0" w:leftChars="0" w:firstLine="0" w:firstLineChars="0"/>
              <w:jc w:val="left"/>
              <w:rPr>
                <w:rFonts w:hint="eastAsia" w:ascii="Times New Roman" w:hAnsi="Times New Roman" w:eastAsia="宋体" w:cs="Times New Roman"/>
                <w:sz w:val="28"/>
                <w:szCs w:val="28"/>
                <w:vertAlign w:val="baseline"/>
                <w:lang w:eastAsia="zh-CN"/>
              </w:rPr>
            </w:pPr>
            <w:r>
              <w:rPr>
                <w:rFonts w:hint="eastAsia" w:ascii="Times New Roman" w:hAnsi="Times New Roman" w:eastAsia="宋体" w:cs="Times New Roman"/>
                <w:sz w:val="28"/>
                <w:szCs w:val="28"/>
                <w:vertAlign w:val="baseline"/>
                <w:lang w:eastAsia="zh-CN"/>
              </w:rPr>
              <w:drawing>
                <wp:inline distT="0" distB="0" distL="114300" distR="114300">
                  <wp:extent cx="1619250" cy="2160270"/>
                  <wp:effectExtent l="0" t="0" r="0" b="11430"/>
                  <wp:docPr id="10" name="图片 10" descr="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222"/>
                          <pic:cNvPicPr>
                            <a:picLocks noChangeAspect="1"/>
                          </pic:cNvPicPr>
                        </pic:nvPicPr>
                        <pic:blipFill>
                          <a:blip r:embed="rId7"/>
                          <a:stretch>
                            <a:fillRect/>
                          </a:stretch>
                        </pic:blipFill>
                        <pic:spPr>
                          <a:xfrm>
                            <a:off x="0" y="0"/>
                            <a:ext cx="1619250" cy="2160270"/>
                          </a:xfrm>
                          <a:prstGeom prst="rect">
                            <a:avLst/>
                          </a:prstGeom>
                        </pic:spPr>
                      </pic:pic>
                    </a:graphicData>
                  </a:graphic>
                </wp:inline>
              </w:drawing>
            </w:r>
          </w:p>
        </w:tc>
        <w:tc>
          <w:tcPr>
            <w:tcW w:w="2842" w:type="dxa"/>
            <w:vAlign w:val="center"/>
          </w:tcPr>
          <w:p w14:paraId="665383AA">
            <w:pPr>
              <w:pStyle w:val="2"/>
              <w:ind w:left="0" w:leftChars="0" w:firstLine="0" w:firstLineChars="0"/>
              <w:jc w:val="left"/>
              <w:rPr>
                <w:rFonts w:hint="eastAsia" w:ascii="Times New Roman" w:hAnsi="Times New Roman" w:eastAsia="宋体" w:cs="Times New Roman"/>
                <w:sz w:val="28"/>
                <w:szCs w:val="28"/>
                <w:vertAlign w:val="baseline"/>
                <w:lang w:eastAsia="zh-CN"/>
              </w:rPr>
            </w:pPr>
            <w:r>
              <w:rPr>
                <w:rFonts w:hint="eastAsia" w:ascii="Times New Roman" w:hAnsi="Times New Roman" w:eastAsia="宋体" w:cs="Times New Roman"/>
                <w:sz w:val="28"/>
                <w:szCs w:val="28"/>
                <w:vertAlign w:val="baseline"/>
                <w:lang w:eastAsia="zh-CN"/>
              </w:rPr>
              <w:drawing>
                <wp:inline distT="0" distB="0" distL="114300" distR="114300">
                  <wp:extent cx="1619250" cy="2160270"/>
                  <wp:effectExtent l="0" t="0" r="0" b="11430"/>
                  <wp:docPr id="11" name="图片 11" descr="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333"/>
                          <pic:cNvPicPr>
                            <a:picLocks noChangeAspect="1"/>
                          </pic:cNvPicPr>
                        </pic:nvPicPr>
                        <pic:blipFill>
                          <a:blip r:embed="rId8"/>
                          <a:stretch>
                            <a:fillRect/>
                          </a:stretch>
                        </pic:blipFill>
                        <pic:spPr>
                          <a:xfrm>
                            <a:off x="0" y="0"/>
                            <a:ext cx="1619250" cy="2160270"/>
                          </a:xfrm>
                          <a:prstGeom prst="rect">
                            <a:avLst/>
                          </a:prstGeom>
                        </pic:spPr>
                      </pic:pic>
                    </a:graphicData>
                  </a:graphic>
                </wp:inline>
              </w:drawing>
            </w:r>
          </w:p>
        </w:tc>
      </w:tr>
    </w:tbl>
    <w:p w14:paraId="7BEC8897">
      <w:pPr>
        <w:rPr>
          <w:rFonts w:hint="eastAsia" w:ascii="仿宋_GB2312" w:hAnsi="仿宋_GB2312" w:eastAsia="仿宋_GB2312" w:cs="仿宋_GB2312"/>
          <w:b/>
          <w:bCs/>
          <w:kern w:val="2"/>
          <w:sz w:val="32"/>
          <w:szCs w:val="32"/>
          <w:lang w:val="en-US" w:eastAsia="zh-CN"/>
        </w:rPr>
      </w:pPr>
      <w:r>
        <w:rPr>
          <w:rFonts w:hint="eastAsia" w:ascii="仿宋_GB2312" w:hAnsi="仿宋_GB2312" w:eastAsia="仿宋_GB2312" w:cs="仿宋_GB2312"/>
          <w:b/>
          <w:bCs/>
          <w:kern w:val="2"/>
          <w:sz w:val="32"/>
          <w:szCs w:val="32"/>
          <w:lang w:val="en-US" w:eastAsia="zh-CN"/>
        </w:rPr>
        <w:br w:type="page"/>
      </w:r>
    </w:p>
    <w:p w14:paraId="7E34669D">
      <w:pPr>
        <w:pStyle w:val="21"/>
        <w:keepNext w:val="0"/>
        <w:keepLines w:val="0"/>
        <w:pageBreakBefore w:val="0"/>
        <w:widowControl w:val="0"/>
        <w:kinsoku/>
        <w:wordWrap/>
        <w:overflowPunct/>
        <w:topLinePunct w:val="0"/>
        <w:bidi w:val="0"/>
        <w:spacing w:line="560" w:lineRule="exact"/>
        <w:ind w:firstLine="640" w:firstLineChars="200"/>
        <w:jc w:val="both"/>
        <w:textAlignment w:val="auto"/>
        <w:rPr>
          <w:rFonts w:hint="default" w:ascii="仿宋_GB2312" w:hAnsi="仿宋_GB2312" w:eastAsia="仿宋_GB2312" w:cs="仿宋_GB2312"/>
          <w:b/>
          <w:bCs/>
          <w:kern w:val="2"/>
          <w:sz w:val="32"/>
          <w:szCs w:val="32"/>
          <w:lang w:val="en-US" w:eastAsia="zh-CN"/>
        </w:rPr>
      </w:pPr>
      <w:r>
        <w:rPr>
          <w:rFonts w:hint="eastAsia" w:ascii="仿宋_GB2312" w:hAnsi="仿宋_GB2312" w:eastAsia="仿宋_GB2312" w:cs="仿宋_GB2312"/>
          <w:b/>
          <w:bCs/>
          <w:kern w:val="2"/>
          <w:sz w:val="32"/>
          <w:szCs w:val="32"/>
          <w:lang w:val="en-US" w:eastAsia="zh-CN"/>
        </w:rPr>
        <w:t>（2）堵塞情况</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0"/>
        <w:gridCol w:w="2842"/>
      </w:tblGrid>
      <w:tr w14:paraId="5DA1E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6" w:hRule="atLeast"/>
          <w:jc w:val="center"/>
        </w:trPr>
        <w:tc>
          <w:tcPr>
            <w:tcW w:w="2840" w:type="dxa"/>
            <w:vAlign w:val="center"/>
          </w:tcPr>
          <w:p w14:paraId="65F26331">
            <w:pPr>
              <w:pStyle w:val="2"/>
              <w:ind w:left="0" w:leftChars="0" w:firstLine="0" w:firstLineChars="0"/>
              <w:jc w:val="left"/>
              <w:rPr>
                <w:rFonts w:hint="eastAsia" w:ascii="Times New Roman" w:hAnsi="Times New Roman" w:eastAsia="宋体" w:cs="Times New Roman"/>
                <w:sz w:val="28"/>
                <w:szCs w:val="28"/>
                <w:vertAlign w:val="baseline"/>
                <w:lang w:eastAsia="zh-CN"/>
              </w:rPr>
            </w:pPr>
            <w:r>
              <w:rPr>
                <w:rFonts w:hint="eastAsia" w:ascii="Times New Roman" w:hAnsi="Times New Roman" w:eastAsia="宋体" w:cs="Times New Roman"/>
                <w:sz w:val="28"/>
                <w:szCs w:val="28"/>
                <w:vertAlign w:val="baseline"/>
                <w:lang w:eastAsia="zh-CN"/>
              </w:rPr>
              <w:drawing>
                <wp:inline distT="0" distB="0" distL="114300" distR="114300">
                  <wp:extent cx="2090420" cy="1567180"/>
                  <wp:effectExtent l="0" t="0" r="5080" b="13970"/>
                  <wp:docPr id="12" name="图片 12" descr="9f0983c714dd90d3be21c3a0c2fba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9f0983c714dd90d3be21c3a0c2fbabc"/>
                          <pic:cNvPicPr>
                            <a:picLocks noChangeAspect="1"/>
                          </pic:cNvPicPr>
                        </pic:nvPicPr>
                        <pic:blipFill>
                          <a:blip r:embed="rId9"/>
                          <a:stretch>
                            <a:fillRect/>
                          </a:stretch>
                        </pic:blipFill>
                        <pic:spPr>
                          <a:xfrm>
                            <a:off x="0" y="0"/>
                            <a:ext cx="2090420" cy="1567180"/>
                          </a:xfrm>
                          <a:prstGeom prst="rect">
                            <a:avLst/>
                          </a:prstGeom>
                        </pic:spPr>
                      </pic:pic>
                    </a:graphicData>
                  </a:graphic>
                </wp:inline>
              </w:drawing>
            </w:r>
          </w:p>
        </w:tc>
        <w:tc>
          <w:tcPr>
            <w:tcW w:w="2840" w:type="dxa"/>
            <w:vAlign w:val="center"/>
          </w:tcPr>
          <w:p w14:paraId="4B2CEEE9">
            <w:pPr>
              <w:pStyle w:val="2"/>
              <w:ind w:left="0" w:leftChars="0" w:firstLine="0" w:firstLineChars="0"/>
              <w:jc w:val="left"/>
              <w:rPr>
                <w:rFonts w:hint="eastAsia" w:ascii="Times New Roman" w:hAnsi="Times New Roman" w:eastAsia="宋体" w:cs="Times New Roman"/>
                <w:sz w:val="28"/>
                <w:szCs w:val="28"/>
                <w:vertAlign w:val="baseline"/>
                <w:lang w:eastAsia="zh-CN"/>
              </w:rPr>
            </w:pPr>
            <w:r>
              <w:rPr>
                <w:rFonts w:hint="eastAsia" w:ascii="Times New Roman" w:hAnsi="Times New Roman" w:eastAsia="宋体" w:cs="Times New Roman"/>
                <w:sz w:val="28"/>
                <w:szCs w:val="28"/>
                <w:vertAlign w:val="baseline"/>
                <w:lang w:eastAsia="zh-CN"/>
              </w:rPr>
              <w:drawing>
                <wp:inline distT="0" distB="0" distL="114300" distR="114300">
                  <wp:extent cx="1696085" cy="2265680"/>
                  <wp:effectExtent l="0" t="0" r="18415" b="1270"/>
                  <wp:docPr id="15" name="图片 15" descr="ecadb666515dfd3bc035d2f27874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ecadb666515dfd3bc035d2f27874216"/>
                          <pic:cNvPicPr>
                            <a:picLocks noChangeAspect="1"/>
                          </pic:cNvPicPr>
                        </pic:nvPicPr>
                        <pic:blipFill>
                          <a:blip r:embed="rId10"/>
                          <a:srcRect t="16181" b="22113"/>
                          <a:stretch>
                            <a:fillRect/>
                          </a:stretch>
                        </pic:blipFill>
                        <pic:spPr>
                          <a:xfrm>
                            <a:off x="0" y="0"/>
                            <a:ext cx="1696085" cy="2265680"/>
                          </a:xfrm>
                          <a:prstGeom prst="rect">
                            <a:avLst/>
                          </a:prstGeom>
                        </pic:spPr>
                      </pic:pic>
                    </a:graphicData>
                  </a:graphic>
                </wp:inline>
              </w:drawing>
            </w:r>
          </w:p>
        </w:tc>
        <w:tc>
          <w:tcPr>
            <w:tcW w:w="2842" w:type="dxa"/>
            <w:vAlign w:val="center"/>
          </w:tcPr>
          <w:p w14:paraId="511C62E9">
            <w:pPr>
              <w:pStyle w:val="2"/>
              <w:ind w:left="0" w:leftChars="0" w:firstLine="0" w:firstLineChars="0"/>
              <w:jc w:val="left"/>
              <w:rPr>
                <w:rFonts w:hint="eastAsia" w:ascii="Times New Roman" w:hAnsi="Times New Roman" w:eastAsia="宋体" w:cs="Times New Roman"/>
                <w:sz w:val="28"/>
                <w:szCs w:val="28"/>
                <w:vertAlign w:val="baseline"/>
                <w:lang w:eastAsia="zh-CN"/>
              </w:rPr>
            </w:pPr>
            <w:r>
              <w:rPr>
                <w:rFonts w:hint="eastAsia" w:ascii="Times New Roman" w:hAnsi="Times New Roman" w:eastAsia="宋体" w:cs="Times New Roman"/>
                <w:sz w:val="28"/>
                <w:szCs w:val="28"/>
                <w:vertAlign w:val="baseline"/>
                <w:lang w:eastAsia="zh-CN"/>
              </w:rPr>
              <w:drawing>
                <wp:inline distT="0" distB="0" distL="114300" distR="114300">
                  <wp:extent cx="2223135" cy="1667510"/>
                  <wp:effectExtent l="0" t="0" r="8890" b="5715"/>
                  <wp:docPr id="2" name="图片 2" descr="da125d7e39ab593a32aa819db5b9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a125d7e39ab593a32aa819db5b9192"/>
                          <pic:cNvPicPr>
                            <a:picLocks noChangeAspect="1"/>
                          </pic:cNvPicPr>
                        </pic:nvPicPr>
                        <pic:blipFill>
                          <a:blip r:embed="rId11"/>
                          <a:stretch>
                            <a:fillRect/>
                          </a:stretch>
                        </pic:blipFill>
                        <pic:spPr>
                          <a:xfrm rot="5400000">
                            <a:off x="0" y="0"/>
                            <a:ext cx="2223135" cy="1667510"/>
                          </a:xfrm>
                          <a:prstGeom prst="rect">
                            <a:avLst/>
                          </a:prstGeom>
                        </pic:spPr>
                      </pic:pic>
                    </a:graphicData>
                  </a:graphic>
                </wp:inline>
              </w:drawing>
            </w:r>
          </w:p>
        </w:tc>
      </w:tr>
      <w:tr w14:paraId="676CB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Align w:val="center"/>
          </w:tcPr>
          <w:p w14:paraId="4E3F3E1D">
            <w:pPr>
              <w:pStyle w:val="2"/>
              <w:jc w:val="left"/>
              <w:rPr>
                <w:rFonts w:hint="default"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加热器堵塞情况</w:t>
            </w:r>
          </w:p>
        </w:tc>
        <w:tc>
          <w:tcPr>
            <w:tcW w:w="2840" w:type="dxa"/>
            <w:vAlign w:val="center"/>
          </w:tcPr>
          <w:p w14:paraId="7A70EFD8">
            <w:pPr>
              <w:pStyle w:val="2"/>
              <w:jc w:val="left"/>
              <w:rPr>
                <w:rFonts w:hint="default"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预热器堵塞情况</w:t>
            </w:r>
          </w:p>
        </w:tc>
        <w:tc>
          <w:tcPr>
            <w:tcW w:w="2842" w:type="dxa"/>
            <w:vAlign w:val="center"/>
          </w:tcPr>
          <w:p w14:paraId="10C685D0">
            <w:pPr>
              <w:pStyle w:val="2"/>
              <w:jc w:val="left"/>
              <w:rPr>
                <w:rFonts w:hint="default" w:ascii="Times New Roman" w:hAnsi="Times New Roman" w:eastAsia="宋体" w:cs="Times New Roman"/>
                <w:sz w:val="28"/>
                <w:szCs w:val="28"/>
                <w:vertAlign w:val="baseline"/>
                <w:lang w:val="en-US" w:eastAsia="zh-CN"/>
              </w:rPr>
            </w:pPr>
            <w:r>
              <w:rPr>
                <w:rFonts w:hint="eastAsia" w:ascii="Times New Roman" w:hAnsi="Times New Roman" w:eastAsia="宋体" w:cs="Times New Roman"/>
                <w:sz w:val="24"/>
                <w:szCs w:val="24"/>
                <w:vertAlign w:val="baseline"/>
                <w:lang w:val="en-US" w:eastAsia="zh-CN"/>
              </w:rPr>
              <w:t>分离器结垢情况</w:t>
            </w:r>
          </w:p>
        </w:tc>
      </w:tr>
    </w:tbl>
    <w:p w14:paraId="0A50E48F">
      <w:pPr>
        <w:pStyle w:val="21"/>
        <w:keepNext w:val="0"/>
        <w:keepLines w:val="0"/>
        <w:pageBreakBefore w:val="0"/>
        <w:widowControl w:val="0"/>
        <w:kinsoku/>
        <w:wordWrap/>
        <w:overflowPunct/>
        <w:topLinePunct w:val="0"/>
        <w:bidi w:val="0"/>
        <w:spacing w:line="560" w:lineRule="exact"/>
        <w:ind w:firstLine="640" w:firstLineChars="200"/>
        <w:jc w:val="both"/>
        <w:textAlignment w:val="auto"/>
        <w:rPr>
          <w:rFonts w:hint="default" w:ascii="仿宋_GB2312" w:hAnsi="仿宋_GB2312" w:eastAsia="仿宋_GB2312" w:cs="仿宋_GB2312"/>
          <w:b/>
          <w:bCs/>
          <w:kern w:val="2"/>
          <w:sz w:val="32"/>
          <w:szCs w:val="32"/>
          <w:lang w:val="en-US" w:eastAsia="zh-CN"/>
        </w:rPr>
      </w:pPr>
      <w:r>
        <w:rPr>
          <w:rFonts w:hint="eastAsia" w:ascii="仿宋_GB2312" w:hAnsi="仿宋_GB2312" w:eastAsia="仿宋_GB2312" w:cs="仿宋_GB2312"/>
          <w:b/>
          <w:bCs/>
          <w:kern w:val="2"/>
          <w:sz w:val="32"/>
          <w:szCs w:val="32"/>
          <w:lang w:val="en-US" w:eastAsia="zh-CN"/>
        </w:rPr>
        <w:t>（3）蒸发器设备图</w:t>
      </w:r>
    </w:p>
    <w:p w14:paraId="27B11351">
      <w:pPr>
        <w:pStyle w:val="21"/>
        <w:keepNext w:val="0"/>
        <w:keepLines w:val="0"/>
        <w:pageBreakBefore w:val="0"/>
        <w:widowControl w:val="0"/>
        <w:kinsoku/>
        <w:wordWrap/>
        <w:overflowPunct/>
        <w:topLinePunct w:val="0"/>
        <w:bidi w:val="0"/>
        <w:spacing w:line="560" w:lineRule="exact"/>
        <w:jc w:val="both"/>
        <w:textAlignment w:val="auto"/>
        <w:rPr>
          <w:rFonts w:hint="eastAsia" w:ascii="仿宋_GB2312" w:hAnsi="仿宋_GB2312" w:eastAsia="仿宋_GB2312" w:cs="仿宋_GB2312"/>
          <w:b/>
          <w:bCs/>
          <w:kern w:val="2"/>
          <w:sz w:val="32"/>
          <w:szCs w:val="32"/>
          <w:lang w:val="en-US" w:eastAsia="zh-CN"/>
        </w:rPr>
      </w:pPr>
      <w:r>
        <w:rPr>
          <w:rFonts w:hint="eastAsia" w:eastAsiaTheme="minorEastAsia"/>
          <w:lang w:eastAsia="zh-CN"/>
        </w:rPr>
        <w:drawing>
          <wp:anchor distT="0" distB="0" distL="114300" distR="114300" simplePos="0" relativeHeight="251659264" behindDoc="0" locked="0" layoutInCell="1" allowOverlap="1">
            <wp:simplePos x="0" y="0"/>
            <wp:positionH relativeFrom="column">
              <wp:posOffset>2015490</wp:posOffset>
            </wp:positionH>
            <wp:positionV relativeFrom="paragraph">
              <wp:posOffset>40005</wp:posOffset>
            </wp:positionV>
            <wp:extent cx="2000250" cy="2162810"/>
            <wp:effectExtent l="0" t="0" r="0" b="8890"/>
            <wp:wrapTopAndBottom/>
            <wp:docPr id="7" name="图片 7" descr="17249264428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724926442849"/>
                    <pic:cNvPicPr>
                      <a:picLocks noChangeAspect="1"/>
                    </pic:cNvPicPr>
                  </pic:nvPicPr>
                  <pic:blipFill>
                    <a:blip r:embed="rId12"/>
                    <a:stretch>
                      <a:fillRect/>
                    </a:stretch>
                  </pic:blipFill>
                  <pic:spPr>
                    <a:xfrm>
                      <a:off x="0" y="0"/>
                      <a:ext cx="2000250" cy="2162810"/>
                    </a:xfrm>
                    <a:prstGeom prst="rect">
                      <a:avLst/>
                    </a:prstGeom>
                  </pic:spPr>
                </pic:pic>
              </a:graphicData>
            </a:graphic>
          </wp:anchor>
        </w:drawing>
      </w:r>
    </w:p>
    <w:p w14:paraId="0AAA9F56">
      <w:pPr>
        <w:pStyle w:val="21"/>
        <w:keepNext w:val="0"/>
        <w:keepLines w:val="0"/>
        <w:pageBreakBefore w:val="0"/>
        <w:widowControl w:val="0"/>
        <w:kinsoku/>
        <w:wordWrap/>
        <w:overflowPunct/>
        <w:topLinePunct w:val="0"/>
        <w:bidi w:val="0"/>
        <w:spacing w:line="560" w:lineRule="exact"/>
        <w:ind w:firstLine="640" w:firstLineChars="200"/>
        <w:jc w:val="both"/>
        <w:textAlignment w:val="auto"/>
        <w:rPr>
          <w:rFonts w:hint="default" w:ascii="仿宋_GB2312" w:hAnsi="仿宋_GB2312" w:eastAsia="仿宋_GB2312" w:cs="仿宋_GB2312"/>
          <w:b/>
          <w:bCs/>
          <w:kern w:val="2"/>
          <w:sz w:val="32"/>
          <w:szCs w:val="32"/>
          <w:lang w:val="en-US" w:eastAsia="zh-CN"/>
        </w:rPr>
      </w:pPr>
      <w:r>
        <w:rPr>
          <w:rFonts w:hint="eastAsia" w:ascii="仿宋_GB2312" w:hAnsi="仿宋_GB2312" w:eastAsia="仿宋_GB2312" w:cs="仿宋_GB2312"/>
          <w:b/>
          <w:bCs/>
          <w:kern w:val="2"/>
          <w:sz w:val="32"/>
          <w:szCs w:val="32"/>
          <w:lang w:val="en-US" w:eastAsia="zh-CN"/>
        </w:rPr>
        <w:t>（二）项目要求</w:t>
      </w:r>
    </w:p>
    <w:p w14:paraId="2F7ECA1A">
      <w:pPr>
        <w:pStyle w:val="21"/>
        <w:keepNext w:val="0"/>
        <w:keepLines w:val="0"/>
        <w:pageBreakBefore w:val="0"/>
        <w:widowControl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b/>
          <w:bCs/>
          <w:kern w:val="2"/>
          <w:sz w:val="32"/>
          <w:szCs w:val="32"/>
          <w:lang w:val="en-US" w:eastAsia="zh-CN"/>
        </w:rPr>
      </w:pPr>
      <w:r>
        <w:rPr>
          <w:rFonts w:hint="eastAsia" w:ascii="仿宋_GB2312" w:hAnsi="仿宋_GB2312" w:eastAsia="仿宋_GB2312" w:cs="仿宋_GB2312"/>
          <w:b/>
          <w:bCs/>
          <w:kern w:val="2"/>
          <w:sz w:val="32"/>
          <w:szCs w:val="32"/>
          <w:lang w:val="en-US" w:eastAsia="zh-CN"/>
        </w:rPr>
        <w:t>1、用材用具要求</w:t>
      </w:r>
    </w:p>
    <w:p w14:paraId="437AA4F2">
      <w:pPr>
        <w:pStyle w:val="21"/>
        <w:keepNext w:val="0"/>
        <w:keepLines w:val="0"/>
        <w:pageBreakBefore w:val="0"/>
        <w:widowControl w:val="0"/>
        <w:kinsoku/>
        <w:wordWrap/>
        <w:overflowPunct/>
        <w:topLinePunct w:val="0"/>
        <w:bidi w:val="0"/>
        <w:spacing w:line="560" w:lineRule="exact"/>
        <w:ind w:firstLine="640" w:firstLineChars="200"/>
        <w:jc w:val="both"/>
        <w:textAlignment w:val="auto"/>
        <w:rPr>
          <w:rFonts w:hint="default"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采购人提供：临时用电接口、临时用水、供气，出渣出水收集装置及吨袋由采购人提供设备并协助；受限空间作业采购人提供轴流风机、低压照明灯具。</w:t>
      </w:r>
    </w:p>
    <w:p w14:paraId="07603C93">
      <w:pPr>
        <w:pStyle w:val="21"/>
        <w:keepNext w:val="0"/>
        <w:keepLines w:val="0"/>
        <w:pageBreakBefore w:val="0"/>
        <w:widowControl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成交人提供：清洗所需工器具（包括但不限于清洗专用设备等）、劳动防护用品（以满足现场安全管理要求为准）等。</w:t>
      </w:r>
    </w:p>
    <w:p w14:paraId="5C0E8503">
      <w:pPr>
        <w:pStyle w:val="21"/>
        <w:keepNext w:val="0"/>
        <w:keepLines w:val="0"/>
        <w:pageBreakBefore w:val="0"/>
        <w:widowControl w:val="0"/>
        <w:kinsoku/>
        <w:wordWrap/>
        <w:overflowPunct/>
        <w:topLinePunct w:val="0"/>
        <w:bidi w:val="0"/>
        <w:spacing w:line="560" w:lineRule="exact"/>
        <w:ind w:firstLine="640" w:firstLineChars="200"/>
        <w:jc w:val="both"/>
        <w:textAlignment w:val="auto"/>
        <w:rPr>
          <w:rFonts w:hint="default" w:ascii="仿宋_GB2312" w:hAnsi="仿宋_GB2312" w:eastAsia="仿宋_GB2312" w:cs="仿宋_GB2312"/>
          <w:b/>
          <w:bCs/>
          <w:kern w:val="2"/>
          <w:sz w:val="32"/>
          <w:szCs w:val="32"/>
          <w:lang w:val="en-US" w:eastAsia="zh-CN"/>
        </w:rPr>
      </w:pPr>
      <w:r>
        <w:rPr>
          <w:rFonts w:hint="eastAsia" w:ascii="仿宋_GB2312" w:hAnsi="仿宋_GB2312" w:eastAsia="仿宋_GB2312" w:cs="仿宋_GB2312"/>
          <w:b/>
          <w:bCs/>
          <w:kern w:val="2"/>
          <w:sz w:val="32"/>
          <w:szCs w:val="32"/>
          <w:lang w:val="en-US" w:eastAsia="zh-CN"/>
        </w:rPr>
        <w:t>2、服务要求</w:t>
      </w:r>
    </w:p>
    <w:p w14:paraId="6F2102EB">
      <w:pPr>
        <w:pStyle w:val="21"/>
        <w:keepNext w:val="0"/>
        <w:keepLines w:val="0"/>
        <w:pageBreakBefore w:val="0"/>
        <w:widowControl w:val="0"/>
        <w:kinsoku/>
        <w:wordWrap/>
        <w:overflowPunct/>
        <w:topLinePunct w:val="0"/>
        <w:bidi w:val="0"/>
        <w:spacing w:line="560" w:lineRule="exact"/>
        <w:ind w:firstLine="640" w:firstLineChars="200"/>
        <w:jc w:val="both"/>
        <w:textAlignment w:val="auto"/>
        <w:rPr>
          <w:rFonts w:hint="default"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①成交人在服务前提供施工方案、企业行业资质证、作业资格证（如高压水射流清洗工证）到采购人进行报备审核，未经采购人批准或作业人员无相关资质禁止作业；成交人所派出的施工管理人员有类似项目的施工管理经验，并在服务过程中自行安排专门的作业监护人员。</w:t>
      </w:r>
    </w:p>
    <w:p w14:paraId="26E34422">
      <w:pPr>
        <w:pStyle w:val="21"/>
        <w:keepNext w:val="0"/>
        <w:keepLines w:val="0"/>
        <w:pageBreakBefore w:val="0"/>
        <w:widowControl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②服务过程中不得损伤蒸发器表面、管道、仪表、阀门和设备等原有设施；如遇特殊情况需要拆卸原有设施作业的，作业前必须征得采购人现场管理人员同意。</w:t>
      </w:r>
    </w:p>
    <w:p w14:paraId="267172B0">
      <w:pPr>
        <w:pStyle w:val="21"/>
        <w:keepNext w:val="0"/>
        <w:keepLines w:val="0"/>
        <w:pageBreakBefore w:val="0"/>
        <w:widowControl w:val="0"/>
        <w:kinsoku/>
        <w:wordWrap/>
        <w:overflowPunct/>
        <w:topLinePunct w:val="0"/>
        <w:bidi w:val="0"/>
        <w:spacing w:line="560" w:lineRule="exact"/>
        <w:ind w:firstLine="640" w:firstLineChars="200"/>
        <w:jc w:val="both"/>
        <w:textAlignment w:val="auto"/>
        <w:rPr>
          <w:rFonts w:hint="default"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③通堵及清洗工作，必须用围挡把作业区域封闭，避免高压水意外喷射至工作区域外产生的安全风险，高压清洗车应用警戒带封闭，禁止无关人员靠近。</w:t>
      </w:r>
    </w:p>
    <w:p w14:paraId="0E1C394F">
      <w:pPr>
        <w:pStyle w:val="21"/>
        <w:keepNext w:val="0"/>
        <w:keepLines w:val="0"/>
        <w:pageBreakBefore w:val="0"/>
        <w:widowControl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④现场施工完成后成交人及时清理施工区域卫生。</w:t>
      </w:r>
    </w:p>
    <w:p w14:paraId="0804302B">
      <w:pPr>
        <w:pStyle w:val="21"/>
        <w:keepNext w:val="0"/>
        <w:keepLines w:val="0"/>
        <w:pageBreakBefore w:val="0"/>
        <w:widowControl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b/>
          <w:bCs/>
          <w:kern w:val="2"/>
          <w:sz w:val="32"/>
          <w:szCs w:val="32"/>
          <w:lang w:val="en-US" w:eastAsia="zh-CN"/>
        </w:rPr>
      </w:pPr>
      <w:r>
        <w:rPr>
          <w:rFonts w:hint="eastAsia" w:ascii="仿宋_GB2312" w:hAnsi="仿宋_GB2312" w:eastAsia="仿宋_GB2312" w:cs="仿宋_GB2312"/>
          <w:b/>
          <w:bCs/>
          <w:kern w:val="2"/>
          <w:sz w:val="32"/>
          <w:szCs w:val="32"/>
          <w:lang w:val="en-US" w:eastAsia="zh-CN"/>
        </w:rPr>
        <w:t>3、安全要求</w:t>
      </w:r>
    </w:p>
    <w:p w14:paraId="744C15B8">
      <w:pPr>
        <w:pStyle w:val="21"/>
        <w:keepNext w:val="0"/>
        <w:keepLines w:val="0"/>
        <w:pageBreakBefore w:val="0"/>
        <w:widowControl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①成交人必须签订安全管理协议，进场前对作业人员进行三级安全教育，必须严格遵守国家和地方相关法律法规及采购人相关规定，作业期间接受采购人的监管并参与采购人组织的安全培训。</w:t>
      </w:r>
    </w:p>
    <w:p w14:paraId="40F91977">
      <w:pPr>
        <w:pStyle w:val="21"/>
        <w:keepNext w:val="0"/>
        <w:keepLines w:val="0"/>
        <w:pageBreakBefore w:val="0"/>
        <w:widowControl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②作业前必须严格按照国家关于特种作业的相关规定安排持证人员在进行报备和开展必要的安全准备后，在采购人代表和成交人委派的安全员监督下开展作业，确保作业安全有效；同时作业期间所需的工具、设备、劳保用品（安全帽、劳保服等）等由成交人自备。</w:t>
      </w:r>
    </w:p>
    <w:p w14:paraId="07872B7A">
      <w:pPr>
        <w:pStyle w:val="21"/>
        <w:keepNext w:val="0"/>
        <w:keepLines w:val="0"/>
        <w:pageBreakBefore w:val="0"/>
        <w:widowControl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③成交人必须响应采购人要求成立项目组，项目组必须专业配备齐全，具备丰富经验，项目负责人在项目实施过程中未经采购人同意不得更改。委派的作业人员必须具有丰富的作业经验且身体健康，不合格者不允许参与作业；同时，成交人需为作业人员购买100万的意外保险。</w:t>
      </w:r>
    </w:p>
    <w:p w14:paraId="4AC14F65">
      <w:pPr>
        <w:pStyle w:val="21"/>
        <w:keepNext w:val="0"/>
        <w:keepLines w:val="0"/>
        <w:pageBreakBefore w:val="0"/>
        <w:widowControl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④在作业期间成交人必须配备专职安全员，安全员必须熟悉危化品的理化性质和具有必要的现场急救技能，并负责审核作业安全票证、监督作业前人员劳保设备佩戴情况，做好现场风险评估等；作业过程中，安全员不得擅自离岗，特殊情况需要离开时应及时向作业人员通报，并指定其他具有监护资格的员工接替，如找不到接替人，必须停止作业。</w:t>
      </w:r>
    </w:p>
    <w:p w14:paraId="74B5A3A0">
      <w:pPr>
        <w:pStyle w:val="21"/>
        <w:keepNext w:val="0"/>
        <w:keepLines w:val="0"/>
        <w:pageBreakBefore w:val="0"/>
        <w:widowControl w:val="0"/>
        <w:kinsoku/>
        <w:wordWrap/>
        <w:overflowPunct/>
        <w:topLinePunct w:val="0"/>
        <w:bidi w:val="0"/>
        <w:spacing w:line="560" w:lineRule="exact"/>
        <w:ind w:firstLine="640" w:firstLineChars="200"/>
        <w:jc w:val="both"/>
        <w:textAlignment w:val="auto"/>
        <w:rPr>
          <w:rFonts w:hint="default" w:ascii="仿宋_GB2312" w:hAnsi="仿宋_GB2312" w:eastAsia="仿宋_GB2312" w:cs="仿宋_GB2312"/>
          <w:b/>
          <w:bCs/>
          <w:kern w:val="2"/>
          <w:sz w:val="32"/>
          <w:szCs w:val="32"/>
          <w:lang w:val="en-US" w:eastAsia="zh-CN"/>
        </w:rPr>
      </w:pPr>
      <w:r>
        <w:rPr>
          <w:rFonts w:hint="eastAsia" w:ascii="仿宋_GB2312" w:hAnsi="仿宋_GB2312" w:eastAsia="仿宋_GB2312" w:cs="仿宋_GB2312"/>
          <w:b/>
          <w:bCs/>
          <w:kern w:val="2"/>
          <w:sz w:val="32"/>
          <w:szCs w:val="32"/>
          <w:lang w:val="en-US" w:eastAsia="zh-CN"/>
        </w:rPr>
        <w:t>4、验收要求</w:t>
      </w:r>
    </w:p>
    <w:p w14:paraId="56FBFF8A">
      <w:pPr>
        <w:pStyle w:val="21"/>
        <w:keepNext w:val="0"/>
        <w:keepLines w:val="0"/>
        <w:pageBreakBefore w:val="0"/>
        <w:widowControl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验收标准：设备内表面的上附着的盐垢清理干净，可看见管壁且不得打坏划伤金属表面。</w:t>
      </w:r>
    </w:p>
    <w:p w14:paraId="5B1B169C">
      <w:pPr>
        <w:pStyle w:val="21"/>
        <w:keepNext w:val="0"/>
        <w:keepLines w:val="0"/>
        <w:pageBreakBefore w:val="0"/>
        <w:widowControl w:val="0"/>
        <w:kinsoku/>
        <w:wordWrap/>
        <w:overflowPunct/>
        <w:topLinePunct w:val="0"/>
        <w:bidi w:val="0"/>
        <w:spacing w:line="560" w:lineRule="exact"/>
        <w:ind w:firstLine="640" w:firstLineChars="200"/>
        <w:jc w:val="both"/>
        <w:textAlignment w:val="auto"/>
        <w:rPr>
          <w:rFonts w:hint="default"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采购人在成交人完成当次清洗服务后按验收标准组织验收，对于无法通过的，成交人需无条件整改，直至通过采购人验收。</w:t>
      </w:r>
    </w:p>
    <w:p w14:paraId="72652877">
      <w:pPr>
        <w:pStyle w:val="21"/>
        <w:keepNext w:val="0"/>
        <w:keepLines w:val="0"/>
        <w:pageBreakBefore w:val="0"/>
        <w:widowControl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b/>
          <w:bCs/>
          <w:kern w:val="2"/>
          <w:sz w:val="32"/>
          <w:szCs w:val="32"/>
          <w:lang w:val="en-US" w:eastAsia="zh-CN"/>
        </w:rPr>
      </w:pPr>
      <w:r>
        <w:rPr>
          <w:rFonts w:hint="eastAsia" w:ascii="仿宋_GB2312" w:hAnsi="仿宋_GB2312" w:eastAsia="仿宋_GB2312" w:cs="仿宋_GB2312"/>
          <w:b/>
          <w:bCs/>
          <w:kern w:val="2"/>
          <w:sz w:val="32"/>
          <w:szCs w:val="32"/>
          <w:lang w:val="en-US" w:eastAsia="zh-CN"/>
        </w:rPr>
        <w:t>5</w:t>
      </w:r>
      <w:r>
        <w:rPr>
          <w:rFonts w:hint="default" w:ascii="仿宋_GB2312" w:hAnsi="仿宋_GB2312" w:eastAsia="仿宋_GB2312" w:cs="仿宋_GB2312"/>
          <w:b/>
          <w:bCs/>
          <w:kern w:val="2"/>
          <w:sz w:val="32"/>
          <w:szCs w:val="32"/>
          <w:lang w:val="en-US" w:eastAsia="zh-CN"/>
        </w:rPr>
        <w:t>、</w:t>
      </w:r>
      <w:r>
        <w:rPr>
          <w:rFonts w:hint="eastAsia" w:ascii="仿宋_GB2312" w:hAnsi="仿宋_GB2312" w:eastAsia="仿宋_GB2312" w:cs="仿宋_GB2312"/>
          <w:b/>
          <w:bCs/>
          <w:kern w:val="2"/>
          <w:sz w:val="32"/>
          <w:szCs w:val="32"/>
          <w:lang w:val="en-US" w:eastAsia="zh-CN"/>
        </w:rPr>
        <w:t>相关说明</w:t>
      </w:r>
    </w:p>
    <w:p w14:paraId="27BCAE0B">
      <w:pPr>
        <w:pStyle w:val="21"/>
        <w:keepNext w:val="0"/>
        <w:keepLines w:val="0"/>
        <w:pageBreakBefore w:val="0"/>
        <w:widowControl w:val="0"/>
        <w:kinsoku/>
        <w:wordWrap/>
        <w:overflowPunct/>
        <w:topLinePunct w:val="0"/>
        <w:bidi w:val="0"/>
        <w:spacing w:line="560" w:lineRule="exact"/>
        <w:ind w:firstLine="640" w:firstLineChars="200"/>
        <w:jc w:val="both"/>
        <w:textAlignment w:val="auto"/>
        <w:rPr>
          <w:rFonts w:hint="default"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原则上要求报价人踏勘现场，</w:t>
      </w:r>
      <w:r>
        <w:rPr>
          <w:rFonts w:hint="default" w:ascii="仿宋_GB2312" w:hAnsi="仿宋_GB2312" w:eastAsia="仿宋_GB2312" w:cs="仿宋_GB2312"/>
          <w:b w:val="0"/>
          <w:bCs w:val="0"/>
          <w:kern w:val="2"/>
          <w:sz w:val="32"/>
          <w:szCs w:val="32"/>
          <w:lang w:val="en-US" w:eastAsia="zh-CN"/>
        </w:rPr>
        <w:t>报价人的报价视为了解采购人现场情况、项目内容和工作量等。对项目要求及现场有疑问，可到采购人现场勘察或咨询</w:t>
      </w:r>
      <w:r>
        <w:rPr>
          <w:rFonts w:hint="eastAsia" w:ascii="仿宋_GB2312" w:hAnsi="仿宋_GB2312" w:eastAsia="仿宋_GB2312" w:cs="仿宋_GB2312"/>
          <w:b w:val="0"/>
          <w:bCs w:val="0"/>
          <w:kern w:val="2"/>
          <w:sz w:val="32"/>
          <w:szCs w:val="32"/>
          <w:lang w:val="en-US" w:eastAsia="zh-CN"/>
        </w:rPr>
        <w:t>关工15578317197。</w:t>
      </w:r>
    </w:p>
    <w:p w14:paraId="0CEE2B4E">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outlineLvl w:val="1"/>
        <w:rPr>
          <w:rFonts w:eastAsia="黑体"/>
          <w:color w:val="000000"/>
          <w:sz w:val="32"/>
          <w:szCs w:val="32"/>
        </w:rPr>
      </w:pPr>
      <w:r>
        <w:rPr>
          <w:rFonts w:hint="eastAsia" w:eastAsia="黑体"/>
          <w:color w:val="000000"/>
          <w:sz w:val="32"/>
          <w:szCs w:val="32"/>
        </w:rPr>
        <w:t>五、完成时间</w:t>
      </w:r>
    </w:p>
    <w:p w14:paraId="4E4A2AD3">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outlineLvl w:val="1"/>
        <w:rPr>
          <w:rFonts w:hint="eastAsia" w:eastAsia="仿宋_GB2312"/>
          <w:color w:val="000000"/>
          <w:sz w:val="32"/>
          <w:szCs w:val="32"/>
        </w:rPr>
      </w:pPr>
      <w:r>
        <w:rPr>
          <w:rFonts w:hint="eastAsia" w:eastAsia="仿宋_GB2312"/>
          <w:color w:val="000000"/>
          <w:sz w:val="32"/>
          <w:szCs w:val="32"/>
        </w:rPr>
        <w:t>合同期为1年，自合同签订之日起，成交人根据采购人进场通知之日起约定时间内完成设备的清洗并通过验收，其中：加热器设备2个日历日，预热器设备1天，分离器设备1天；如设备堵塞严重的，经采购人确定且同意后可延长工期2天，但费用不做调整。</w:t>
      </w:r>
    </w:p>
    <w:p w14:paraId="7280A1A9">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outlineLvl w:val="1"/>
        <w:rPr>
          <w:rFonts w:eastAsia="黑体"/>
          <w:color w:val="000000"/>
          <w:sz w:val="32"/>
          <w:szCs w:val="32"/>
        </w:rPr>
      </w:pPr>
      <w:r>
        <w:rPr>
          <w:rFonts w:hint="eastAsia" w:eastAsia="黑体"/>
          <w:color w:val="000000"/>
          <w:sz w:val="32"/>
          <w:szCs w:val="32"/>
        </w:rPr>
        <w:t>六、支付方式</w:t>
      </w:r>
    </w:p>
    <w:p w14:paraId="4EF6EF3D">
      <w:pPr>
        <w:keepNext w:val="0"/>
        <w:keepLines w:val="0"/>
        <w:pageBreakBefore w:val="0"/>
        <w:widowControl w:val="0"/>
        <w:kinsoku/>
        <w:wordWrap/>
        <w:overflowPunct/>
        <w:topLinePunct w:val="0"/>
        <w:bidi w:val="0"/>
        <w:spacing w:line="560" w:lineRule="exact"/>
        <w:ind w:firstLine="640" w:firstLineChars="200"/>
        <w:textAlignment w:val="auto"/>
        <w:rPr>
          <w:rFonts w:hint="default"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（一）按次结算，成交人按照采购人当次通知要求完成相应清洗内容并通过验收后，成交人开具增值税专用发票，采购人在收到有效资料的30个日历日内支付至当次费用的100%。</w:t>
      </w:r>
    </w:p>
    <w:p w14:paraId="128C6654">
      <w:pPr>
        <w:keepNext w:val="0"/>
        <w:keepLines w:val="0"/>
        <w:pageBreakBefore w:val="0"/>
        <w:widowControl w:val="0"/>
        <w:kinsoku/>
        <w:wordWrap/>
        <w:overflowPunct/>
        <w:topLinePunct w:val="0"/>
        <w:bidi w:val="0"/>
        <w:spacing w:line="56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en-US" w:eastAsia="zh-CN"/>
        </w:rPr>
        <w:t>二</w:t>
      </w:r>
      <w:r>
        <w:rPr>
          <w:rFonts w:hint="eastAsia" w:ascii="仿宋_GB2312" w:hAnsi="仿宋_GB2312" w:eastAsia="仿宋_GB2312" w:cs="仿宋_GB2312"/>
          <w:bCs/>
          <w:sz w:val="32"/>
          <w:szCs w:val="32"/>
        </w:rPr>
        <w:t>）成交人请款前需向采购人提供请款材料和开具合法有效等额的增值税专用发票，否则采购人有权拒绝付款。</w:t>
      </w:r>
    </w:p>
    <w:p w14:paraId="64424A01">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outlineLvl w:val="1"/>
        <w:rPr>
          <w:rFonts w:eastAsia="黑体"/>
          <w:color w:val="000000"/>
          <w:sz w:val="32"/>
          <w:szCs w:val="32"/>
        </w:rPr>
      </w:pPr>
      <w:r>
        <w:rPr>
          <w:rFonts w:hint="eastAsia" w:eastAsia="黑体"/>
          <w:color w:val="000000"/>
          <w:sz w:val="32"/>
          <w:szCs w:val="32"/>
        </w:rPr>
        <w:t>七、报价</w:t>
      </w:r>
    </w:p>
    <w:p w14:paraId="3783A812">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outlineLvl w:val="1"/>
        <w:rPr>
          <w:rFonts w:hint="default" w:ascii="仿宋_GB2312" w:hAnsi="仿宋_GB2312" w:eastAsia="仿宋_GB2312" w:cs="仿宋_GB2312"/>
          <w:b/>
          <w:bCs/>
          <w:color w:val="000000"/>
          <w:sz w:val="32"/>
          <w:szCs w:val="32"/>
          <w:lang w:val="en-US" w:eastAsia="zh-CN"/>
        </w:rPr>
      </w:pPr>
      <w:r>
        <w:rPr>
          <w:rFonts w:hint="eastAsia" w:ascii="仿宋_GB2312" w:hAnsi="仿宋_GB2312" w:eastAsia="仿宋_GB2312" w:cs="仿宋_GB2312"/>
          <w:b/>
          <w:bCs/>
          <w:color w:val="000000"/>
          <w:sz w:val="32"/>
          <w:szCs w:val="32"/>
          <w:lang w:val="en-US" w:eastAsia="zh-CN"/>
        </w:rPr>
        <w:t>（一）总预算：26.90万元</w:t>
      </w:r>
    </w:p>
    <w:p w14:paraId="7299A19C">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outlineLvl w:val="1"/>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lang w:eastAsia="zh-CN"/>
        </w:rPr>
        <w:t>（</w:t>
      </w:r>
      <w:r>
        <w:rPr>
          <w:rFonts w:hint="eastAsia" w:ascii="仿宋_GB2312" w:hAnsi="仿宋_GB2312" w:eastAsia="仿宋_GB2312" w:cs="仿宋_GB2312"/>
          <w:b/>
          <w:bCs/>
          <w:color w:val="000000"/>
          <w:sz w:val="32"/>
          <w:szCs w:val="32"/>
          <w:lang w:val="en-US" w:eastAsia="zh-CN"/>
        </w:rPr>
        <w:t>二</w:t>
      </w:r>
      <w:r>
        <w:rPr>
          <w:rFonts w:hint="eastAsia" w:ascii="仿宋_GB2312" w:hAnsi="仿宋_GB2312" w:eastAsia="仿宋_GB2312" w:cs="仿宋_GB2312"/>
          <w:b/>
          <w:bCs/>
          <w:color w:val="000000"/>
          <w:sz w:val="32"/>
          <w:szCs w:val="32"/>
          <w:lang w:eastAsia="zh-CN"/>
        </w:rPr>
        <w:t>）</w:t>
      </w:r>
      <w:r>
        <w:rPr>
          <w:rFonts w:hint="eastAsia" w:ascii="仿宋_GB2312" w:hAnsi="仿宋_GB2312" w:eastAsia="仿宋_GB2312" w:cs="仿宋_GB2312"/>
          <w:b/>
          <w:bCs/>
          <w:color w:val="000000"/>
          <w:sz w:val="32"/>
          <w:szCs w:val="32"/>
          <w:lang w:val="en-US" w:eastAsia="zh-CN"/>
        </w:rPr>
        <w:t>单价</w:t>
      </w:r>
      <w:r>
        <w:rPr>
          <w:rFonts w:hint="eastAsia" w:ascii="仿宋_GB2312" w:hAnsi="仿宋_GB2312" w:eastAsia="仿宋_GB2312" w:cs="仿宋_GB2312"/>
          <w:b/>
          <w:bCs/>
          <w:color w:val="000000"/>
          <w:sz w:val="32"/>
          <w:szCs w:val="32"/>
        </w:rPr>
        <w:t>限价：</w:t>
      </w:r>
    </w:p>
    <w:tbl>
      <w:tblPr>
        <w:tblStyle w:val="14"/>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05"/>
        <w:gridCol w:w="1131"/>
        <w:gridCol w:w="884"/>
        <w:gridCol w:w="2754"/>
        <w:gridCol w:w="1672"/>
        <w:gridCol w:w="2067"/>
      </w:tblGrid>
      <w:tr w14:paraId="381849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25F45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9F767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作业位置</w:t>
            </w:r>
          </w:p>
        </w:tc>
        <w:tc>
          <w:tcPr>
            <w:tcW w:w="4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74E4A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15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2FED4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内容</w:t>
            </w:r>
            <w:r>
              <w:rPr>
                <w:rFonts w:hint="default" w:ascii="Times New Roman" w:hAnsi="Times New Roman" w:eastAsia="宋体" w:cs="Times New Roman"/>
                <w:b/>
                <w:bCs/>
                <w:i w:val="0"/>
                <w:iCs w:val="0"/>
                <w:color w:val="000000"/>
                <w:kern w:val="0"/>
                <w:sz w:val="22"/>
                <w:szCs w:val="22"/>
                <w:u w:val="none"/>
                <w:lang w:val="en-US" w:eastAsia="zh-CN" w:bidi="ar"/>
              </w:rPr>
              <w:t>/</w:t>
            </w:r>
            <w:r>
              <w:rPr>
                <w:rFonts w:hint="eastAsia" w:ascii="宋体" w:hAnsi="宋体" w:eastAsia="宋体" w:cs="宋体"/>
                <w:b/>
                <w:bCs/>
                <w:i w:val="0"/>
                <w:iCs w:val="0"/>
                <w:color w:val="000000"/>
                <w:kern w:val="0"/>
                <w:sz w:val="22"/>
                <w:szCs w:val="22"/>
                <w:u w:val="none"/>
                <w:lang w:val="en-US" w:eastAsia="zh-CN" w:bidi="ar"/>
              </w:rPr>
              <w:t>范围</w:t>
            </w:r>
          </w:p>
        </w:tc>
        <w:tc>
          <w:tcPr>
            <w:tcW w:w="9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1A7D8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作业内容</w:t>
            </w:r>
          </w:p>
        </w:tc>
        <w:tc>
          <w:tcPr>
            <w:tcW w:w="11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2C684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单价限价</w:t>
            </w:r>
            <w:r>
              <w:rPr>
                <w:rFonts w:hint="eastAsia" w:ascii="宋体" w:hAnsi="宋体" w:eastAsia="宋体" w:cs="宋体"/>
                <w:b/>
                <w:bCs/>
                <w:i w:val="0"/>
                <w:iCs w:val="0"/>
                <w:color w:val="000000"/>
                <w:kern w:val="0"/>
                <w:sz w:val="22"/>
                <w:szCs w:val="22"/>
                <w:u w:val="none"/>
                <w:lang w:val="en-US" w:eastAsia="zh-CN" w:bidi="ar"/>
              </w:rPr>
              <w:br w:type="textWrapping"/>
            </w:r>
            <w:r>
              <w:rPr>
                <w:rFonts w:hint="eastAsia" w:ascii="宋体" w:hAnsi="宋体" w:eastAsia="宋体" w:cs="宋体"/>
                <w:b/>
                <w:bCs/>
                <w:i w:val="0"/>
                <w:iCs w:val="0"/>
                <w:color w:val="000000"/>
                <w:kern w:val="0"/>
                <w:sz w:val="22"/>
                <w:szCs w:val="22"/>
                <w:u w:val="none"/>
                <w:lang w:val="en-US" w:eastAsia="zh-CN" w:bidi="ar"/>
              </w:rPr>
              <w:t>（含税，元/台）</w:t>
            </w:r>
          </w:p>
        </w:tc>
      </w:tr>
      <w:tr w14:paraId="30E34D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BE9CA6">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1605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加热器</w:t>
            </w:r>
          </w:p>
        </w:tc>
        <w:tc>
          <w:tcPr>
            <w:tcW w:w="4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2B94D6">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9</w:t>
            </w:r>
            <w:r>
              <w:rPr>
                <w:rFonts w:hint="eastAsia" w:ascii="宋体" w:hAnsi="宋体" w:eastAsia="宋体" w:cs="宋体"/>
                <w:i w:val="0"/>
                <w:iCs w:val="0"/>
                <w:color w:val="000000"/>
                <w:kern w:val="0"/>
                <w:sz w:val="22"/>
                <w:szCs w:val="22"/>
                <w:u w:val="none"/>
                <w:lang w:val="en-US" w:eastAsia="zh-CN" w:bidi="ar"/>
              </w:rPr>
              <w:t>台</w:t>
            </w:r>
          </w:p>
        </w:tc>
        <w:tc>
          <w:tcPr>
            <w:tcW w:w="15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85A7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单个加热器</w:t>
            </w:r>
            <w:r>
              <w:rPr>
                <w:rFonts w:hint="default" w:ascii="Times New Roman" w:hAnsi="Times New Roman" w:eastAsia="宋体" w:cs="Times New Roman"/>
                <w:i w:val="0"/>
                <w:iCs w:val="0"/>
                <w:color w:val="000000"/>
                <w:kern w:val="0"/>
                <w:sz w:val="22"/>
                <w:szCs w:val="22"/>
                <w:u w:val="none"/>
                <w:lang w:val="en-US" w:eastAsia="zh-CN" w:bidi="ar"/>
              </w:rPr>
              <w:t>415</w:t>
            </w:r>
            <w:r>
              <w:rPr>
                <w:rFonts w:hint="eastAsia" w:ascii="宋体" w:hAnsi="宋体" w:eastAsia="宋体" w:cs="宋体"/>
                <w:i w:val="0"/>
                <w:iCs w:val="0"/>
                <w:color w:val="000000"/>
                <w:kern w:val="0"/>
                <w:sz w:val="22"/>
                <w:szCs w:val="22"/>
                <w:u w:val="none"/>
                <w:lang w:val="en-US" w:eastAsia="zh-CN" w:bidi="ar"/>
              </w:rPr>
              <w:t>根列管，直径</w:t>
            </w:r>
            <w:r>
              <w:rPr>
                <w:rFonts w:hint="default" w:ascii="Times New Roman" w:hAnsi="Times New Roman" w:eastAsia="宋体" w:cs="Times New Roman"/>
                <w:i w:val="0"/>
                <w:iCs w:val="0"/>
                <w:color w:val="000000"/>
                <w:kern w:val="0"/>
                <w:sz w:val="22"/>
                <w:szCs w:val="22"/>
                <w:u w:val="none"/>
                <w:lang w:val="en-US" w:eastAsia="zh-CN" w:bidi="ar"/>
              </w:rPr>
              <w:t>32mm</w:t>
            </w:r>
            <w:r>
              <w:rPr>
                <w:rFonts w:hint="eastAsia" w:ascii="宋体" w:hAnsi="宋体" w:eastAsia="宋体" w:cs="宋体"/>
                <w:i w:val="0"/>
                <w:iCs w:val="0"/>
                <w:color w:val="000000"/>
                <w:kern w:val="0"/>
                <w:sz w:val="22"/>
                <w:szCs w:val="22"/>
                <w:u w:val="none"/>
                <w:lang w:val="en-US" w:eastAsia="zh-CN" w:bidi="ar"/>
              </w:rPr>
              <w:t>，长度</w:t>
            </w:r>
            <w:r>
              <w:rPr>
                <w:rFonts w:hint="default" w:ascii="Times New Roman" w:hAnsi="Times New Roman" w:eastAsia="宋体" w:cs="Times New Roman"/>
                <w:i w:val="0"/>
                <w:iCs w:val="0"/>
                <w:color w:val="000000"/>
                <w:kern w:val="0"/>
                <w:sz w:val="22"/>
                <w:szCs w:val="22"/>
                <w:u w:val="none"/>
                <w:lang w:val="en-US" w:eastAsia="zh-CN" w:bidi="ar"/>
              </w:rPr>
              <w:t>6m</w:t>
            </w:r>
          </w:p>
        </w:tc>
        <w:tc>
          <w:tcPr>
            <w:tcW w:w="9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52C9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通堵</w:t>
            </w:r>
            <w:r>
              <w:rPr>
                <w:rFonts w:hint="default" w:ascii="Times New Roman" w:hAnsi="Times New Roman" w:eastAsia="宋体" w:cs="Times New Roman"/>
                <w:i w:val="0"/>
                <w:iCs w:val="0"/>
                <w:color w:val="000000"/>
                <w:kern w:val="0"/>
                <w:sz w:val="22"/>
                <w:szCs w:val="22"/>
                <w:u w:val="none"/>
                <w:lang w:val="en-US" w:eastAsia="zh-CN" w:bidi="ar"/>
              </w:rPr>
              <w:t>&amp;</w:t>
            </w:r>
            <w:r>
              <w:rPr>
                <w:rFonts w:hint="eastAsia" w:ascii="宋体" w:hAnsi="宋体" w:eastAsia="宋体" w:cs="宋体"/>
                <w:i w:val="0"/>
                <w:iCs w:val="0"/>
                <w:color w:val="000000"/>
                <w:kern w:val="0"/>
                <w:sz w:val="22"/>
                <w:szCs w:val="22"/>
                <w:u w:val="none"/>
                <w:lang w:val="en-US" w:eastAsia="zh-CN" w:bidi="ar"/>
              </w:rPr>
              <w:t>清洗</w:t>
            </w:r>
          </w:p>
        </w:tc>
        <w:tc>
          <w:tcPr>
            <w:tcW w:w="11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0BC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¥23,667.00 </w:t>
            </w:r>
          </w:p>
        </w:tc>
      </w:tr>
      <w:tr w14:paraId="4207B2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938C4A">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1ED2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分离器</w:t>
            </w:r>
          </w:p>
        </w:tc>
        <w:tc>
          <w:tcPr>
            <w:tcW w:w="4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EEC571">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9</w:t>
            </w:r>
            <w:r>
              <w:rPr>
                <w:rFonts w:hint="eastAsia" w:ascii="宋体" w:hAnsi="宋体" w:eastAsia="宋体" w:cs="宋体"/>
                <w:i w:val="0"/>
                <w:iCs w:val="0"/>
                <w:color w:val="000000"/>
                <w:kern w:val="0"/>
                <w:sz w:val="22"/>
                <w:szCs w:val="22"/>
                <w:u w:val="none"/>
                <w:lang w:val="en-US" w:eastAsia="zh-CN" w:bidi="ar"/>
              </w:rPr>
              <w:t>台</w:t>
            </w:r>
          </w:p>
        </w:tc>
        <w:tc>
          <w:tcPr>
            <w:tcW w:w="15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DA2E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一效：Ø1400*6*5000mm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二效：Ø1800*6*5000mm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三效：Ø2200*8*5000mm</w:t>
            </w:r>
          </w:p>
        </w:tc>
        <w:tc>
          <w:tcPr>
            <w:tcW w:w="9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A3AF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清洗</w:t>
            </w:r>
          </w:p>
        </w:tc>
        <w:tc>
          <w:tcPr>
            <w:tcW w:w="11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F15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¥1,333.00 </w:t>
            </w:r>
          </w:p>
        </w:tc>
      </w:tr>
      <w:tr w14:paraId="43EC12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18F03E">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8CB5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预热器</w:t>
            </w:r>
          </w:p>
        </w:tc>
        <w:tc>
          <w:tcPr>
            <w:tcW w:w="4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ABFCF8">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12</w:t>
            </w:r>
            <w:r>
              <w:rPr>
                <w:rFonts w:hint="eastAsia" w:ascii="宋体" w:hAnsi="宋体" w:eastAsia="宋体" w:cs="宋体"/>
                <w:i w:val="0"/>
                <w:iCs w:val="0"/>
                <w:color w:val="000000"/>
                <w:kern w:val="0"/>
                <w:sz w:val="22"/>
                <w:szCs w:val="22"/>
                <w:u w:val="none"/>
                <w:lang w:val="en-US" w:eastAsia="zh-CN" w:bidi="ar"/>
              </w:rPr>
              <w:t>台</w:t>
            </w:r>
          </w:p>
        </w:tc>
        <w:tc>
          <w:tcPr>
            <w:tcW w:w="15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2B31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单个预热器</w:t>
            </w:r>
            <w:r>
              <w:rPr>
                <w:rFonts w:hint="default" w:ascii="Times New Roman" w:hAnsi="Times New Roman" w:eastAsia="宋体" w:cs="Times New Roman"/>
                <w:i w:val="0"/>
                <w:iCs w:val="0"/>
                <w:color w:val="000000"/>
                <w:kern w:val="0"/>
                <w:sz w:val="22"/>
                <w:szCs w:val="22"/>
                <w:u w:val="none"/>
                <w:lang w:val="en-US" w:eastAsia="zh-CN" w:bidi="ar"/>
              </w:rPr>
              <w:t xml:space="preserve">85 </w:t>
            </w:r>
            <w:r>
              <w:rPr>
                <w:rFonts w:hint="eastAsia" w:ascii="宋体" w:hAnsi="宋体" w:eastAsia="宋体" w:cs="宋体"/>
                <w:i w:val="0"/>
                <w:iCs w:val="0"/>
                <w:color w:val="000000"/>
                <w:kern w:val="0"/>
                <w:sz w:val="22"/>
                <w:szCs w:val="22"/>
                <w:u w:val="none"/>
                <w:lang w:val="en-US" w:eastAsia="zh-CN" w:bidi="ar"/>
              </w:rPr>
              <w:t>根列管，直径</w:t>
            </w:r>
            <w:r>
              <w:rPr>
                <w:rFonts w:hint="default" w:ascii="Times New Roman" w:hAnsi="Times New Roman" w:eastAsia="宋体" w:cs="Times New Roman"/>
                <w:i w:val="0"/>
                <w:iCs w:val="0"/>
                <w:color w:val="000000"/>
                <w:kern w:val="0"/>
                <w:sz w:val="22"/>
                <w:szCs w:val="22"/>
                <w:u w:val="none"/>
                <w:lang w:val="en-US" w:eastAsia="zh-CN" w:bidi="ar"/>
              </w:rPr>
              <w:t>32mm</w:t>
            </w:r>
            <w:r>
              <w:rPr>
                <w:rFonts w:hint="eastAsia" w:ascii="宋体" w:hAnsi="宋体" w:eastAsia="宋体" w:cs="宋体"/>
                <w:i w:val="0"/>
                <w:iCs w:val="0"/>
                <w:color w:val="000000"/>
                <w:kern w:val="0"/>
                <w:sz w:val="22"/>
                <w:szCs w:val="22"/>
                <w:u w:val="none"/>
                <w:lang w:val="en-US" w:eastAsia="zh-CN" w:bidi="ar"/>
              </w:rPr>
              <w:t>，长度</w:t>
            </w:r>
            <w:r>
              <w:rPr>
                <w:rFonts w:hint="default" w:ascii="Times New Roman" w:hAnsi="Times New Roman" w:eastAsia="宋体" w:cs="Times New Roman"/>
                <w:i w:val="0"/>
                <w:iCs w:val="0"/>
                <w:color w:val="000000"/>
                <w:kern w:val="0"/>
                <w:sz w:val="22"/>
                <w:szCs w:val="22"/>
                <w:u w:val="none"/>
                <w:lang w:val="en-US" w:eastAsia="zh-CN" w:bidi="ar"/>
              </w:rPr>
              <w:t>6m</w:t>
            </w:r>
          </w:p>
        </w:tc>
        <w:tc>
          <w:tcPr>
            <w:tcW w:w="9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E6D1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通堵</w:t>
            </w:r>
            <w:r>
              <w:rPr>
                <w:rFonts w:hint="default" w:ascii="Times New Roman" w:hAnsi="Times New Roman" w:eastAsia="宋体" w:cs="Times New Roman"/>
                <w:i w:val="0"/>
                <w:iCs w:val="0"/>
                <w:color w:val="000000"/>
                <w:kern w:val="0"/>
                <w:sz w:val="22"/>
                <w:szCs w:val="22"/>
                <w:u w:val="none"/>
                <w:lang w:val="en-US" w:eastAsia="zh-CN" w:bidi="ar"/>
              </w:rPr>
              <w:t>&amp;</w:t>
            </w:r>
            <w:r>
              <w:rPr>
                <w:rFonts w:hint="eastAsia" w:ascii="宋体" w:hAnsi="宋体" w:eastAsia="宋体" w:cs="宋体"/>
                <w:i w:val="0"/>
                <w:iCs w:val="0"/>
                <w:color w:val="000000"/>
                <w:kern w:val="0"/>
                <w:sz w:val="22"/>
                <w:szCs w:val="22"/>
                <w:u w:val="none"/>
                <w:lang w:val="en-US" w:eastAsia="zh-CN" w:bidi="ar"/>
              </w:rPr>
              <w:t>清洗</w:t>
            </w:r>
          </w:p>
        </w:tc>
        <w:tc>
          <w:tcPr>
            <w:tcW w:w="11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4CB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¥3,667.00 </w:t>
            </w:r>
          </w:p>
        </w:tc>
      </w:tr>
    </w:tbl>
    <w:p w14:paraId="6DA30A58">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1"/>
        <w:rPr>
          <w:rFonts w:hint="eastAsia" w:eastAsia="仿宋_GB2312"/>
          <w:color w:val="000000"/>
          <w:sz w:val="32"/>
          <w:szCs w:val="32"/>
        </w:rPr>
      </w:pPr>
      <w:r>
        <w:rPr>
          <w:rFonts w:hint="eastAsia" w:ascii="仿宋_GB2312" w:hAnsi="仿宋_GB2312" w:eastAsia="仿宋_GB2312" w:cs="仿宋_GB2312"/>
          <w:b/>
          <w:bCs/>
          <w:color w:val="000000"/>
          <w:sz w:val="32"/>
          <w:szCs w:val="32"/>
          <w:lang w:val="en-US" w:eastAsia="zh-CN"/>
        </w:rPr>
        <w:t>（三）</w:t>
      </w:r>
      <w:r>
        <w:rPr>
          <w:rFonts w:hint="eastAsia" w:eastAsia="仿宋_GB2312"/>
          <w:color w:val="000000"/>
          <w:sz w:val="32"/>
          <w:szCs w:val="32"/>
        </w:rPr>
        <w:t>本项目为</w:t>
      </w:r>
      <w:r>
        <w:rPr>
          <w:rFonts w:hint="eastAsia" w:eastAsia="仿宋_GB2312"/>
          <w:b/>
          <w:bCs/>
          <w:color w:val="000000"/>
          <w:sz w:val="32"/>
          <w:szCs w:val="32"/>
          <w:lang w:val="en-US" w:eastAsia="zh-CN"/>
        </w:rPr>
        <w:t>固定单价包干</w:t>
      </w:r>
      <w:r>
        <w:rPr>
          <w:rFonts w:hint="eastAsia" w:eastAsia="仿宋_GB2312"/>
          <w:color w:val="000000"/>
          <w:sz w:val="32"/>
          <w:szCs w:val="32"/>
          <w:lang w:val="en-US" w:eastAsia="zh-CN"/>
        </w:rPr>
        <w:t>，固定单价报价包括但不限于清洗对应设备所需的设备器具费、人工费、服务费、差旅费、保险费和税费等费用，</w:t>
      </w:r>
      <w:r>
        <w:rPr>
          <w:rFonts w:hint="eastAsia" w:eastAsia="仿宋_GB2312"/>
          <w:color w:val="000000"/>
          <w:sz w:val="32"/>
          <w:szCs w:val="32"/>
        </w:rPr>
        <w:t>最终结算时不做调整。要求报价人提供总价及分项报价，分项包括：报价人认为需要列出的其他分项。报价人所报价格不得高于</w:t>
      </w:r>
      <w:r>
        <w:rPr>
          <w:rFonts w:hint="eastAsia" w:eastAsia="仿宋_GB2312"/>
          <w:color w:val="000000"/>
          <w:sz w:val="32"/>
          <w:szCs w:val="32"/>
          <w:lang w:val="en-US" w:eastAsia="zh-CN"/>
        </w:rPr>
        <w:t>单价</w:t>
      </w:r>
      <w:r>
        <w:rPr>
          <w:rFonts w:hint="eastAsia" w:eastAsia="仿宋_GB2312"/>
          <w:color w:val="000000"/>
          <w:sz w:val="32"/>
          <w:szCs w:val="32"/>
        </w:rPr>
        <w:t>限价。</w:t>
      </w:r>
    </w:p>
    <w:p w14:paraId="43711AF5">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1"/>
        <w:rPr>
          <w:rFonts w:eastAsia="黑体"/>
          <w:color w:val="000000"/>
          <w:sz w:val="32"/>
          <w:szCs w:val="32"/>
        </w:rPr>
      </w:pPr>
      <w:r>
        <w:rPr>
          <w:rFonts w:hint="eastAsia" w:eastAsia="黑体"/>
          <w:color w:val="000000"/>
          <w:sz w:val="32"/>
          <w:szCs w:val="32"/>
        </w:rPr>
        <w:t>八、开评定标</w:t>
      </w:r>
    </w:p>
    <w:p w14:paraId="123E5A64">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1"/>
        <w:rPr>
          <w:rFonts w:hint="eastAsia" w:eastAsia="仿宋_GB2312"/>
          <w:color w:val="000000"/>
          <w:sz w:val="32"/>
          <w:szCs w:val="32"/>
          <w:highlight w:val="none"/>
        </w:rPr>
      </w:pPr>
      <w:r>
        <w:rPr>
          <w:rFonts w:hint="eastAsia" w:eastAsia="仿宋_GB2312"/>
          <w:color w:val="000000"/>
          <w:sz w:val="32"/>
          <w:szCs w:val="32"/>
          <w:highlight w:val="none"/>
        </w:rPr>
        <w:t>本次项目采用</w:t>
      </w:r>
      <w:r>
        <w:rPr>
          <w:rFonts w:hint="eastAsia" w:eastAsia="仿宋_GB2312"/>
          <w:b/>
          <w:bCs/>
          <w:color w:val="000000"/>
          <w:sz w:val="32"/>
          <w:szCs w:val="32"/>
          <w:highlight w:val="none"/>
        </w:rPr>
        <w:t>询价方式</w:t>
      </w:r>
      <w:r>
        <w:rPr>
          <w:rFonts w:hint="eastAsia" w:eastAsia="仿宋_GB2312"/>
          <w:color w:val="000000"/>
          <w:sz w:val="32"/>
          <w:szCs w:val="32"/>
          <w:highlight w:val="none"/>
        </w:rPr>
        <w:t>进行采购，原则上以</w:t>
      </w:r>
      <w:r>
        <w:rPr>
          <w:rFonts w:hint="eastAsia" w:eastAsia="仿宋_GB2312"/>
          <w:b/>
          <w:bCs/>
          <w:color w:val="000000"/>
          <w:sz w:val="32"/>
          <w:szCs w:val="32"/>
          <w:highlight w:val="none"/>
          <w:lang w:val="en-US" w:eastAsia="zh-CN"/>
        </w:rPr>
        <w:t>暂定</w:t>
      </w:r>
      <w:r>
        <w:rPr>
          <w:rFonts w:hint="eastAsia" w:eastAsia="仿宋_GB2312"/>
          <w:b/>
          <w:bCs/>
          <w:color w:val="000000"/>
          <w:sz w:val="32"/>
          <w:szCs w:val="32"/>
          <w:highlight w:val="none"/>
        </w:rPr>
        <w:t>含税总价的最低</w:t>
      </w:r>
      <w:r>
        <w:rPr>
          <w:rFonts w:hint="eastAsia" w:eastAsia="仿宋_GB2312"/>
          <w:color w:val="000000"/>
          <w:sz w:val="32"/>
          <w:szCs w:val="32"/>
          <w:highlight w:val="none"/>
        </w:rPr>
        <w:t>的有效报价人为成交人。</w:t>
      </w:r>
    </w:p>
    <w:p w14:paraId="703B5AC4">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1"/>
        <w:rPr>
          <w:rFonts w:hint="eastAsia" w:eastAsia="仿宋_GB2312"/>
          <w:color w:val="000000"/>
          <w:sz w:val="32"/>
          <w:szCs w:val="32"/>
          <w:highlight w:val="none"/>
        </w:rPr>
      </w:pPr>
      <w:r>
        <w:rPr>
          <w:rFonts w:hint="eastAsia" w:eastAsia="仿宋_GB2312"/>
          <w:color w:val="000000"/>
          <w:sz w:val="32"/>
          <w:szCs w:val="32"/>
          <w:highlight w:val="none"/>
        </w:rPr>
        <w:t>开标结束后由采购人将相关采购情况报采购人招标采购工作小组审定，由采购人招标采购工作小组定标。</w:t>
      </w:r>
    </w:p>
    <w:p w14:paraId="726DDE50">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1"/>
        <w:rPr>
          <w:rFonts w:eastAsia="黑体"/>
          <w:color w:val="000000"/>
          <w:sz w:val="32"/>
          <w:szCs w:val="32"/>
        </w:rPr>
      </w:pPr>
      <w:r>
        <w:rPr>
          <w:rFonts w:hint="eastAsia" w:eastAsia="黑体"/>
          <w:color w:val="000000"/>
          <w:sz w:val="32"/>
          <w:szCs w:val="32"/>
        </w:rPr>
        <w:t>九、采取的合同文本</w:t>
      </w:r>
    </w:p>
    <w:p w14:paraId="733DF561">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1"/>
        <w:rPr>
          <w:rFonts w:hint="eastAsia" w:ascii="仿宋_GB2312" w:hAnsi="仿宋_GB2312" w:eastAsia="仿宋_GB2312" w:cs="仿宋_GB2312"/>
          <w:color w:val="000000"/>
          <w:sz w:val="32"/>
          <w:szCs w:val="32"/>
        </w:rPr>
      </w:pPr>
      <w:r>
        <w:rPr>
          <w:rFonts w:hint="eastAsia" w:eastAsia="仿宋_GB2312"/>
          <w:color w:val="000000"/>
          <w:sz w:val="32"/>
          <w:szCs w:val="32"/>
          <w:highlight w:val="none"/>
        </w:rPr>
        <w:t>合同签订的依据为采购文件、报价文件及补充说明等。确定成交人后，成交人在10天内与采购人签订合同（详见附件合同模板）。</w:t>
      </w:r>
    </w:p>
    <w:p w14:paraId="3F1AAE78">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1"/>
        <w:rPr>
          <w:rFonts w:eastAsia="黑体"/>
          <w:color w:val="000000"/>
          <w:sz w:val="32"/>
          <w:szCs w:val="32"/>
        </w:rPr>
      </w:pPr>
      <w:r>
        <w:rPr>
          <w:rFonts w:eastAsia="黑体"/>
          <w:color w:val="000000"/>
          <w:sz w:val="32"/>
          <w:szCs w:val="32"/>
        </w:rPr>
        <w:sym w:font="Wingdings" w:char="F0AB"/>
      </w:r>
      <w:r>
        <w:rPr>
          <w:rFonts w:hint="eastAsia" w:eastAsia="黑体"/>
          <w:color w:val="000000"/>
          <w:sz w:val="32"/>
          <w:szCs w:val="32"/>
        </w:rPr>
        <w:t>十、响应文件的组成部分（响应文件本项资料如有不全，则作无效报价处理）</w:t>
      </w:r>
    </w:p>
    <w:p w14:paraId="7BECDA99">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1、报价函（模板，详见附件）及报价清单（模板，详见附件）（加盖公章）；</w:t>
      </w:r>
    </w:p>
    <w:p w14:paraId="36E8AA9E">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2、法人证明（模板，详见附件）以及法人身份证复印件（加盖公章）；</w:t>
      </w:r>
    </w:p>
    <w:p w14:paraId="5A479FE8">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3、法人授权书（模板，详见附件）及被委托人身份证复印件（加盖公章）（法人本人参加报价活动不需提供）；</w:t>
      </w:r>
    </w:p>
    <w:p w14:paraId="7885FE7B">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4、报价人营业执照复印件（加盖公章）；</w:t>
      </w:r>
    </w:p>
    <w:p w14:paraId="03846103">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5、蒸发器或相近设备清洗业绩</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不少于1个，提供合同主要页复印件（包含但不限于合同首页、合同金额页、合同签字页等）及该合同期内任意一期已开具的发票复印件加盖公章</w:t>
      </w:r>
      <w:r>
        <w:rPr>
          <w:rFonts w:hint="eastAsia" w:ascii="仿宋_GB2312" w:hAnsi="仿宋_GB2312" w:eastAsia="仿宋_GB2312" w:cs="仿宋_GB2312"/>
          <w:color w:val="000000"/>
          <w:sz w:val="32"/>
          <w:szCs w:val="32"/>
          <w:lang w:eastAsia="zh-CN"/>
        </w:rPr>
        <w:t>）；</w:t>
      </w:r>
    </w:p>
    <w:p w14:paraId="289942B7">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color w:val="000000"/>
          <w:sz w:val="32"/>
          <w:szCs w:val="32"/>
        </w:rPr>
        <w:t>投标人未到场声明（未到场或不参加线上签到必须提供，模板，详见附件）（加盖公章）;</w:t>
      </w:r>
    </w:p>
    <w:p w14:paraId="0881248E">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val="en-US" w:eastAsia="zh-CN"/>
        </w:rPr>
        <w:t>7</w:t>
      </w:r>
      <w:r>
        <w:rPr>
          <w:rFonts w:hint="eastAsia" w:ascii="仿宋_GB2312" w:hAnsi="仿宋_GB2312" w:eastAsia="仿宋_GB2312" w:cs="仿宋_GB2312"/>
          <w:color w:val="000000"/>
          <w:sz w:val="32"/>
          <w:szCs w:val="32"/>
        </w:rPr>
        <w:t>、报价保证金汇入情况说明（模板）及保证金缴纳凭证（加盖公章）</w:t>
      </w:r>
      <w:r>
        <w:rPr>
          <w:rFonts w:hint="eastAsia" w:ascii="仿宋_GB2312" w:hAnsi="仿宋_GB2312" w:eastAsia="仿宋_GB2312" w:cs="仿宋_GB2312"/>
          <w:color w:val="000000"/>
          <w:sz w:val="32"/>
          <w:szCs w:val="32"/>
          <w:lang w:eastAsia="zh-CN"/>
        </w:rPr>
        <w:t>；</w:t>
      </w:r>
    </w:p>
    <w:p w14:paraId="33A31043">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8、</w:t>
      </w:r>
      <w:r>
        <w:rPr>
          <w:rFonts w:hint="eastAsia" w:ascii="仿宋_GB2312" w:hAnsi="仿宋_GB2312" w:eastAsia="仿宋_GB2312" w:cs="仿宋_GB2312"/>
          <w:color w:val="000000"/>
          <w:sz w:val="32"/>
          <w:szCs w:val="32"/>
        </w:rPr>
        <w:t>本项目采购文件要求或报价人认为应补充的其他资料（如有）。</w:t>
      </w:r>
    </w:p>
    <w:p w14:paraId="452FE4C6">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eastAsia="黑体"/>
          <w:color w:val="000000"/>
          <w:sz w:val="32"/>
          <w:szCs w:val="32"/>
        </w:rPr>
      </w:pPr>
      <w:r>
        <w:rPr>
          <w:rFonts w:hint="eastAsia" w:ascii="仿宋" w:hAnsi="仿宋" w:eastAsia="仿宋" w:cs="仿宋"/>
          <w:sz w:val="32"/>
          <w:szCs w:val="32"/>
        </w:rPr>
        <w:t>★</w:t>
      </w:r>
      <w:r>
        <w:rPr>
          <w:rFonts w:hint="eastAsia" w:eastAsia="黑体"/>
          <w:color w:val="000000"/>
          <w:sz w:val="32"/>
          <w:szCs w:val="32"/>
        </w:rPr>
        <w:t>十一、响应文件要求</w:t>
      </w:r>
    </w:p>
    <w:p w14:paraId="47050037">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本项目实行线上投标方式，报价人需严格按照要求进行报价。</w:t>
      </w:r>
    </w:p>
    <w:p w14:paraId="4DA4BBC5">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（一）线上投标</w:t>
      </w:r>
    </w:p>
    <w:p w14:paraId="1D837333">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1、平台登录：广东东实环境股份有限公司官网（http://dshuanbao.com.cn/）→招标采购→招采平台→供应商注册→填写（点击下一步，完善供应商信息）→注册成功→返回招采平台主界面登录→投标。</w:t>
      </w:r>
    </w:p>
    <w:p w14:paraId="271B60E8">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2、报价人须严格按照系统提示要求提供资料并进行报价。</w:t>
      </w:r>
    </w:p>
    <w:p w14:paraId="6A64DD24">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（二）报价文件编制要求：</w:t>
      </w:r>
    </w:p>
    <w:p w14:paraId="54262969">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1、报价人须严格按照招标平台采购人提供的表单格式及要求报价，</w:t>
      </w:r>
      <w:r>
        <w:rPr>
          <w:rFonts w:hint="eastAsia" w:ascii="仿宋_GB2312" w:hAnsi="仿宋_GB2312" w:eastAsia="仿宋_GB2312" w:cs="仿宋_GB2312"/>
          <w:b/>
          <w:bCs/>
          <w:sz w:val="32"/>
          <w:szCs w:val="32"/>
        </w:rPr>
        <w:t>响应文件必须每页加盖公章，以PDF形式上传到线上招采平台。</w:t>
      </w:r>
    </w:p>
    <w:p w14:paraId="628D5C7F">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2、报价文件必须按要求加密。</w:t>
      </w:r>
    </w:p>
    <w:p w14:paraId="7EE4F58E">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3、不符合本项要求的报价文件为</w:t>
      </w:r>
      <w:r>
        <w:rPr>
          <w:rFonts w:hint="eastAsia" w:ascii="仿宋_GB2312" w:hAnsi="仿宋_GB2312" w:eastAsia="仿宋_GB2312" w:cs="仿宋_GB2312"/>
          <w:b/>
          <w:bCs/>
          <w:sz w:val="32"/>
          <w:szCs w:val="32"/>
        </w:rPr>
        <w:t>无效报价</w:t>
      </w:r>
      <w:r>
        <w:rPr>
          <w:rFonts w:hint="eastAsia" w:ascii="仿宋_GB2312" w:hAnsi="仿宋_GB2312" w:eastAsia="仿宋_GB2312" w:cs="仿宋_GB2312"/>
          <w:sz w:val="32"/>
          <w:szCs w:val="32"/>
        </w:rPr>
        <w:t>。</w:t>
      </w:r>
    </w:p>
    <w:p w14:paraId="6BB4A005">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eastAsia="黑体"/>
          <w:sz w:val="32"/>
          <w:szCs w:val="32"/>
        </w:rPr>
      </w:pPr>
      <w:r>
        <w:rPr>
          <w:rFonts w:hint="eastAsia" w:eastAsia="黑体"/>
          <w:sz w:val="32"/>
          <w:szCs w:val="32"/>
        </w:rPr>
        <w:t>十</w:t>
      </w:r>
      <w:r>
        <w:rPr>
          <w:rFonts w:hint="eastAsia" w:eastAsia="黑体"/>
          <w:sz w:val="32"/>
          <w:szCs w:val="32"/>
          <w:lang w:val="en-US" w:eastAsia="zh-CN"/>
        </w:rPr>
        <w:t>二</w:t>
      </w:r>
      <w:r>
        <w:rPr>
          <w:rFonts w:hint="eastAsia" w:eastAsia="黑体"/>
          <w:sz w:val="32"/>
          <w:szCs w:val="32"/>
        </w:rPr>
        <w:t>、保证金</w:t>
      </w:r>
    </w:p>
    <w:p w14:paraId="1B02F4F2">
      <w:pPr>
        <w:keepNext w:val="0"/>
        <w:keepLines w:val="0"/>
        <w:pageBreakBefore w:val="0"/>
        <w:kinsoku/>
        <w:wordWrap/>
        <w:overflowPunct/>
        <w:topLinePunct w:val="0"/>
        <w:autoSpaceDE/>
        <w:autoSpaceDN/>
        <w:bidi w:val="0"/>
        <w:spacing w:line="560" w:lineRule="exact"/>
        <w:ind w:firstLine="640" w:firstLineChars="200"/>
        <w:textAlignment w:val="auto"/>
        <w:rPr>
          <w:rFonts w:eastAsia="仿宋_GB2312"/>
          <w:sz w:val="32"/>
          <w:szCs w:val="32"/>
        </w:rPr>
      </w:pPr>
      <w:r>
        <w:rPr>
          <w:rFonts w:hint="eastAsia" w:eastAsia="仿宋_GB2312"/>
          <w:sz w:val="32"/>
          <w:szCs w:val="32"/>
        </w:rPr>
        <w:t>报价人应按采购文件规定的金额和期限，以线下方式交纳报价保证金，报价保证金作为报价文件的组成部分。报价人与交款人名称必须一致，非报价人缴纳的报价保证金无效。</w:t>
      </w:r>
    </w:p>
    <w:p w14:paraId="17045DAE">
      <w:pPr>
        <w:keepNext w:val="0"/>
        <w:keepLines w:val="0"/>
        <w:pageBreakBefore w:val="0"/>
        <w:kinsoku/>
        <w:wordWrap/>
        <w:overflowPunct/>
        <w:topLinePunct w:val="0"/>
        <w:autoSpaceDE/>
        <w:autoSpaceDN/>
        <w:bidi w:val="0"/>
        <w:spacing w:line="560" w:lineRule="exact"/>
        <w:ind w:firstLine="640" w:firstLineChars="200"/>
        <w:textAlignment w:val="auto"/>
        <w:rPr>
          <w:rFonts w:eastAsia="仿宋_GB2312"/>
          <w:sz w:val="32"/>
          <w:szCs w:val="32"/>
        </w:rPr>
      </w:pPr>
      <w:r>
        <w:rPr>
          <w:rFonts w:hint="eastAsia" w:eastAsia="仿宋_GB2312"/>
          <w:sz w:val="32"/>
          <w:szCs w:val="32"/>
        </w:rPr>
        <w:t>1、报价保证金金额：¥</w:t>
      </w:r>
      <w:r>
        <w:rPr>
          <w:rFonts w:hint="eastAsia" w:eastAsia="仿宋_GB2312"/>
          <w:sz w:val="32"/>
          <w:szCs w:val="32"/>
          <w:lang w:val="en-US" w:eastAsia="zh-CN"/>
        </w:rPr>
        <w:t>5,000</w:t>
      </w:r>
      <w:r>
        <w:rPr>
          <w:rFonts w:hint="eastAsia" w:eastAsia="仿宋_GB2312"/>
          <w:sz w:val="32"/>
          <w:szCs w:val="32"/>
        </w:rPr>
        <w:t>.00元</w:t>
      </w:r>
    </w:p>
    <w:p w14:paraId="301A2F35">
      <w:pPr>
        <w:keepNext w:val="0"/>
        <w:keepLines w:val="0"/>
        <w:pageBreakBefore w:val="0"/>
        <w:kinsoku/>
        <w:wordWrap/>
        <w:overflowPunct/>
        <w:topLinePunct w:val="0"/>
        <w:autoSpaceDE/>
        <w:autoSpaceDN/>
        <w:bidi w:val="0"/>
        <w:spacing w:line="560" w:lineRule="exact"/>
        <w:ind w:firstLine="640" w:firstLineChars="200"/>
        <w:textAlignment w:val="auto"/>
        <w:rPr>
          <w:rFonts w:eastAsia="仿宋_GB2312"/>
          <w:sz w:val="32"/>
          <w:szCs w:val="32"/>
        </w:rPr>
      </w:pPr>
      <w:r>
        <w:rPr>
          <w:rFonts w:hint="eastAsia" w:eastAsia="仿宋_GB2312"/>
          <w:sz w:val="32"/>
          <w:szCs w:val="32"/>
        </w:rPr>
        <w:t>2、报价保证金缴纳期限：报价文件递交截止时间前（报价保证金汇错账号、迟到或不足额均作无效处理）。</w:t>
      </w:r>
    </w:p>
    <w:p w14:paraId="465A5EA8">
      <w:pPr>
        <w:keepNext w:val="0"/>
        <w:keepLines w:val="0"/>
        <w:pageBreakBefore w:val="0"/>
        <w:kinsoku/>
        <w:wordWrap/>
        <w:overflowPunct/>
        <w:topLinePunct w:val="0"/>
        <w:autoSpaceDE/>
        <w:autoSpaceDN/>
        <w:bidi w:val="0"/>
        <w:spacing w:line="560" w:lineRule="exact"/>
        <w:ind w:firstLine="640" w:firstLineChars="200"/>
        <w:textAlignment w:val="auto"/>
        <w:rPr>
          <w:rFonts w:eastAsia="仿宋_GB2312"/>
          <w:sz w:val="32"/>
          <w:szCs w:val="32"/>
        </w:rPr>
      </w:pPr>
      <w:r>
        <w:rPr>
          <w:rFonts w:hint="eastAsia" w:eastAsia="仿宋_GB2312"/>
          <w:sz w:val="32"/>
          <w:szCs w:val="32"/>
        </w:rPr>
        <w:t>3、报价保证金收款账户信息：</w:t>
      </w:r>
    </w:p>
    <w:p w14:paraId="3DDCC824">
      <w:pPr>
        <w:keepNext w:val="0"/>
        <w:keepLines w:val="0"/>
        <w:pageBreakBefore w:val="0"/>
        <w:kinsoku/>
        <w:wordWrap/>
        <w:overflowPunct/>
        <w:topLinePunct w:val="0"/>
        <w:autoSpaceDE/>
        <w:autoSpaceDN/>
        <w:bidi w:val="0"/>
        <w:spacing w:line="560" w:lineRule="exact"/>
        <w:ind w:firstLine="640" w:firstLineChars="200"/>
        <w:textAlignment w:val="auto"/>
        <w:rPr>
          <w:rFonts w:eastAsia="仿宋_GB2312"/>
          <w:sz w:val="32"/>
          <w:szCs w:val="32"/>
        </w:rPr>
      </w:pPr>
      <w:r>
        <w:rPr>
          <w:rFonts w:hint="eastAsia" w:eastAsia="仿宋_GB2312"/>
          <w:sz w:val="32"/>
          <w:szCs w:val="32"/>
        </w:rPr>
        <w:t>账户名称：东莞市新东欣环保投资有限公司</w:t>
      </w:r>
    </w:p>
    <w:p w14:paraId="3D82D31F">
      <w:pPr>
        <w:keepNext w:val="0"/>
        <w:keepLines w:val="0"/>
        <w:pageBreakBefore w:val="0"/>
        <w:kinsoku/>
        <w:wordWrap/>
        <w:overflowPunct/>
        <w:topLinePunct w:val="0"/>
        <w:autoSpaceDE/>
        <w:autoSpaceDN/>
        <w:bidi w:val="0"/>
        <w:spacing w:line="560" w:lineRule="exact"/>
        <w:ind w:firstLine="640" w:firstLineChars="200"/>
        <w:textAlignment w:val="auto"/>
        <w:rPr>
          <w:rFonts w:eastAsia="仿宋_GB2312"/>
          <w:sz w:val="32"/>
          <w:szCs w:val="32"/>
        </w:rPr>
      </w:pPr>
      <w:r>
        <w:rPr>
          <w:rFonts w:hint="eastAsia" w:eastAsia="仿宋_GB2312"/>
          <w:sz w:val="32"/>
          <w:szCs w:val="32"/>
        </w:rPr>
        <w:t>开户银行：中信银行股份有限公司东莞麻涌支行</w:t>
      </w:r>
    </w:p>
    <w:p w14:paraId="7C20E3B7">
      <w:pPr>
        <w:keepNext w:val="0"/>
        <w:keepLines w:val="0"/>
        <w:pageBreakBefore w:val="0"/>
        <w:kinsoku/>
        <w:wordWrap/>
        <w:overflowPunct/>
        <w:topLinePunct w:val="0"/>
        <w:autoSpaceDE/>
        <w:autoSpaceDN/>
        <w:bidi w:val="0"/>
        <w:spacing w:line="560" w:lineRule="exact"/>
        <w:ind w:firstLine="640" w:firstLineChars="200"/>
        <w:textAlignment w:val="auto"/>
        <w:rPr>
          <w:rFonts w:eastAsia="仿宋_GB2312"/>
          <w:sz w:val="32"/>
          <w:szCs w:val="32"/>
        </w:rPr>
      </w:pPr>
      <w:r>
        <w:rPr>
          <w:rFonts w:hint="eastAsia" w:eastAsia="仿宋_GB2312"/>
          <w:sz w:val="32"/>
          <w:szCs w:val="32"/>
        </w:rPr>
        <w:t>银行账号：8114801014200219007</w:t>
      </w:r>
    </w:p>
    <w:p w14:paraId="4E14B6C5">
      <w:pPr>
        <w:keepNext w:val="0"/>
        <w:keepLines w:val="0"/>
        <w:pageBreakBefore w:val="0"/>
        <w:kinsoku/>
        <w:wordWrap/>
        <w:overflowPunct/>
        <w:topLinePunct w:val="0"/>
        <w:autoSpaceDE/>
        <w:autoSpaceDN/>
        <w:bidi w:val="0"/>
        <w:spacing w:line="560" w:lineRule="exact"/>
        <w:ind w:firstLine="640" w:firstLineChars="200"/>
        <w:textAlignment w:val="auto"/>
        <w:rPr>
          <w:rFonts w:hint="eastAsia"/>
        </w:rPr>
      </w:pPr>
      <w:r>
        <w:rPr>
          <w:rFonts w:hint="eastAsia" w:eastAsia="仿宋_GB2312"/>
          <w:sz w:val="32"/>
          <w:szCs w:val="32"/>
        </w:rPr>
        <w:t>4、未中标的报价人的报价保证金在采购人发出结果确认函后30个日历日内一次性无息退还；成交人的报价保证金在合同签订后自动转为履约保证金，履约保证金作为成交人在履约过程中违约金或罚款的扣罚来源之一，履约保证金返还申请时间为</w:t>
      </w:r>
      <w:r>
        <w:rPr>
          <w:rFonts w:hint="eastAsia" w:eastAsia="仿宋_GB2312"/>
          <w:sz w:val="32"/>
          <w:szCs w:val="32"/>
          <w:lang w:val="en-US" w:eastAsia="zh-CN"/>
        </w:rPr>
        <w:t>合同期满之日</w:t>
      </w:r>
      <w:r>
        <w:rPr>
          <w:rFonts w:hint="eastAsia" w:eastAsia="仿宋_GB2312"/>
          <w:sz w:val="32"/>
          <w:szCs w:val="32"/>
        </w:rPr>
        <w:t>，成交人在没有任何违约的情况下提交退款申请，收到成交人申请后30个日历日内，采购人一次性无息退回。</w:t>
      </w:r>
    </w:p>
    <w:p w14:paraId="28FC78FF">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eastAsia="黑体"/>
          <w:sz w:val="32"/>
          <w:szCs w:val="32"/>
        </w:rPr>
      </w:pPr>
      <w:r>
        <w:rPr>
          <w:rFonts w:hint="eastAsia" w:eastAsia="黑体"/>
          <w:sz w:val="32"/>
          <w:szCs w:val="32"/>
          <w:lang w:val="en-US" w:eastAsia="zh-CN"/>
        </w:rPr>
        <w:t>十三、</w:t>
      </w:r>
      <w:r>
        <w:rPr>
          <w:rFonts w:hint="eastAsia" w:eastAsia="黑体"/>
          <w:sz w:val="32"/>
          <w:szCs w:val="32"/>
        </w:rPr>
        <w:t>开标时间及地址</w:t>
      </w:r>
    </w:p>
    <w:p w14:paraId="5AD7DED4">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开标时间：202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日（星期</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0时</w:t>
      </w:r>
    </w:p>
    <w:p w14:paraId="041D0FE0">
      <w:pPr>
        <w:keepNext w:val="0"/>
        <w:keepLines w:val="0"/>
        <w:pageBreakBefore w:val="0"/>
        <w:kinsoku/>
        <w:wordWrap/>
        <w:overflowPunct/>
        <w:topLinePunct w:val="0"/>
        <w:autoSpaceDE/>
        <w:autoSpaceDN/>
        <w:bidi w:val="0"/>
        <w:spacing w:line="560" w:lineRule="exact"/>
        <w:ind w:firstLine="640" w:firstLineChars="200"/>
        <w:textAlignment w:val="auto"/>
      </w:pPr>
      <w:r>
        <w:rPr>
          <w:rFonts w:hint="eastAsia" w:ascii="仿宋_GB2312" w:hAnsi="仿宋_GB2312" w:eastAsia="仿宋_GB2312" w:cs="仿宋_GB2312"/>
          <w:sz w:val="32"/>
          <w:szCs w:val="32"/>
        </w:rPr>
        <w:t>开标地址：广东东实环境股份有限公司线上招采平台。</w:t>
      </w:r>
    </w:p>
    <w:p w14:paraId="4DAE58BD">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eastAsia="黑体"/>
          <w:sz w:val="32"/>
          <w:szCs w:val="32"/>
        </w:rPr>
      </w:pPr>
      <w:r>
        <w:rPr>
          <w:rFonts w:hint="eastAsia" w:eastAsia="黑体"/>
          <w:sz w:val="32"/>
          <w:szCs w:val="32"/>
        </w:rPr>
        <w:t>十</w:t>
      </w:r>
      <w:r>
        <w:rPr>
          <w:rFonts w:hint="eastAsia" w:eastAsia="黑体"/>
          <w:sz w:val="32"/>
          <w:szCs w:val="32"/>
          <w:lang w:val="en-US" w:eastAsia="zh-CN"/>
        </w:rPr>
        <w:t>四</w:t>
      </w:r>
      <w:r>
        <w:rPr>
          <w:rFonts w:hint="eastAsia" w:eastAsia="黑体"/>
          <w:sz w:val="32"/>
          <w:szCs w:val="32"/>
        </w:rPr>
        <w:t>、注意事项</w:t>
      </w:r>
    </w:p>
    <w:p w14:paraId="73E78B20">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1、若报价人未按规定时间进行线上报价或缴纳投标保证金，视为放弃报价资格。</w:t>
      </w:r>
    </w:p>
    <w:p w14:paraId="6FFBE714">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2、成交人如未按要求缴纳履约保证金，则视为放弃中标资格。</w:t>
      </w:r>
    </w:p>
    <w:p w14:paraId="777036ED">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3、采购人向报价人提供的有关资料和数据，是采购人现有的能使报价人利用的资料，采购人对报价人由此而做出的推论、理解和结论概不负责。</w:t>
      </w:r>
    </w:p>
    <w:p w14:paraId="2BFF4D98">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4、本项目执行过程中将遵循国家、省、市有关法律、法规、标准、技术规范和规范性文件的最新规定。</w:t>
      </w:r>
    </w:p>
    <w:p w14:paraId="05C05145">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5、本项目仅可提交一个报价方案，提交两个或以上报价方案的报价人视为无效报价。</w:t>
      </w:r>
    </w:p>
    <w:p w14:paraId="7182A8E4">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6、本项目不接受报价人其他附加条件。</w:t>
      </w:r>
    </w:p>
    <w:p w14:paraId="4398680A">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7、有下列情形之一的，保证金将被没收（如有），并纳入采购人供应商黑名单：</w:t>
      </w:r>
    </w:p>
    <w:p w14:paraId="43CE2BD9">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（1）中标后无正当理由放弃中标或不与采购人签订合同。</w:t>
      </w:r>
    </w:p>
    <w:p w14:paraId="780FA6F9">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（2）成交人将本项目转让给他人，或者在报价文件中未说明，且未经采购人同意，将中标项目分包给他人。</w:t>
      </w:r>
    </w:p>
    <w:p w14:paraId="11BD7FCC">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（3）报价人提供虚假报价文件或虚假补充文件。</w:t>
      </w:r>
    </w:p>
    <w:p w14:paraId="2F7FB061">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（4）成交人在签订合同后，未按合同约定缴纳履约保证金。</w:t>
      </w:r>
    </w:p>
    <w:p w14:paraId="1605F9E0">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8、有下列情形之一的，视为报价人串通询价，其响应无效：</w:t>
      </w:r>
    </w:p>
    <w:p w14:paraId="1E0A97D9">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（1）不同报价人的响应文件由同一单位或者个人编制；</w:t>
      </w:r>
    </w:p>
    <w:p w14:paraId="09BED169">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（2）不同报价人委托同一单位或者个人办理响应事宜；</w:t>
      </w:r>
    </w:p>
    <w:p w14:paraId="4F9A9746">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（3）不同报价人的响应文件载明的项目管理成员或者联系人员为同一人；</w:t>
      </w:r>
    </w:p>
    <w:p w14:paraId="38E250FF">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（4）不同报价人的响应文件异常一致或者响应报价呈规律性差异；</w:t>
      </w:r>
    </w:p>
    <w:p w14:paraId="28EFCBBE">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（5）不同报价人的响应文件相互混装；</w:t>
      </w:r>
    </w:p>
    <w:p w14:paraId="229140D2">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（6）不同报价人的响应保证金从同一单位或者个人的账户转出。</w:t>
      </w:r>
    </w:p>
    <w:p w14:paraId="5AA535E9">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（7）不同报价人的响应IP地址一样。</w:t>
      </w:r>
    </w:p>
    <w:p w14:paraId="3FFC23CF">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9、已列入采购人及上级单位部门黑名单的报价人视为无效报价。</w:t>
      </w:r>
    </w:p>
    <w:p w14:paraId="5A0A6072">
      <w:pPr>
        <w:pStyle w:val="2"/>
        <w:keepNext w:val="0"/>
        <w:keepLines w:val="0"/>
        <w:pageBreakBefore w:val="0"/>
        <w:widowControl w:val="0"/>
        <w:kinsoku/>
        <w:wordWrap/>
        <w:overflowPunct/>
        <w:topLinePunct w:val="0"/>
        <w:autoSpaceDE/>
        <w:autoSpaceDN/>
        <w:bidi w:val="0"/>
        <w:adjustRightInd/>
        <w:snapToGrid/>
        <w:spacing w:after="0" w:line="560" w:lineRule="exact"/>
        <w:textAlignment w:val="auto"/>
        <w:rPr>
          <w:rFonts w:ascii="仿宋_GB2312" w:hAnsi="仿宋_GB2312" w:eastAsia="仿宋_GB2312" w:cs="仿宋_GB2312"/>
          <w:sz w:val="32"/>
          <w:szCs w:val="32"/>
        </w:rPr>
      </w:pPr>
    </w:p>
    <w:p w14:paraId="19542556">
      <w:pPr>
        <w:pStyle w:val="2"/>
        <w:keepNext w:val="0"/>
        <w:keepLines w:val="0"/>
        <w:pageBreakBefore w:val="0"/>
        <w:widowControl w:val="0"/>
        <w:kinsoku/>
        <w:wordWrap/>
        <w:overflowPunct/>
        <w:topLinePunct w:val="0"/>
        <w:autoSpaceDE/>
        <w:autoSpaceDN/>
        <w:bidi w:val="0"/>
        <w:adjustRightInd/>
        <w:snapToGrid/>
        <w:spacing w:after="0" w:line="560" w:lineRule="exact"/>
        <w:textAlignment w:val="auto"/>
        <w:rPr>
          <w:rFonts w:ascii="仿宋_GB2312" w:hAnsi="仿宋_GB2312" w:eastAsia="仿宋_GB2312" w:cs="仿宋_GB2312"/>
          <w:sz w:val="32"/>
          <w:szCs w:val="32"/>
        </w:rPr>
      </w:pPr>
    </w:p>
    <w:p w14:paraId="3E67EB9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东莞市新东欣环保投资有限公司</w:t>
      </w:r>
    </w:p>
    <w:p w14:paraId="5D06BCB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w:t>
      </w:r>
      <w:bookmarkStart w:id="8" w:name="_GoBack"/>
      <w:bookmarkEnd w:id="8"/>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日</w:t>
      </w:r>
    </w:p>
    <w:p w14:paraId="76010595">
      <w:pPr>
        <w:rPr>
          <w:rFonts w:ascii="仿宋_GB2312" w:hAnsi="仿宋_GB2312" w:eastAsia="仿宋_GB2312" w:cs="仿宋_GB2312"/>
          <w:sz w:val="32"/>
          <w:szCs w:val="32"/>
        </w:rPr>
      </w:pPr>
      <w:r>
        <w:rPr>
          <w:rFonts w:ascii="仿宋_GB2312" w:hAnsi="仿宋_GB2312" w:eastAsia="仿宋_GB2312" w:cs="仿宋_GB2312"/>
          <w:sz w:val="32"/>
          <w:szCs w:val="32"/>
        </w:rPr>
        <w:br w:type="page"/>
      </w:r>
    </w:p>
    <w:p w14:paraId="69B19698">
      <w:pPr>
        <w:rPr>
          <w:rFonts w:eastAsia="黑体"/>
          <w:color w:val="000000"/>
          <w:sz w:val="28"/>
          <w:szCs w:val="44"/>
        </w:rPr>
      </w:pPr>
      <w:r>
        <w:rPr>
          <w:rFonts w:hint="eastAsia" w:eastAsia="黑体"/>
          <w:color w:val="000000"/>
          <w:sz w:val="28"/>
          <w:szCs w:val="44"/>
        </w:rPr>
        <w:t>附件一：</w:t>
      </w:r>
      <w:r>
        <w:rPr>
          <w:rFonts w:hint="eastAsia" w:eastAsia="黑体"/>
          <w:color w:val="000000"/>
          <w:sz w:val="28"/>
          <w:szCs w:val="44"/>
          <w:lang w:val="en-US" w:eastAsia="zh-CN"/>
        </w:rPr>
        <w:t xml:space="preserve">  </w:t>
      </w:r>
      <w:r>
        <w:rPr>
          <w:rFonts w:hint="eastAsia" w:eastAsia="黑体"/>
          <w:color w:val="000000"/>
          <w:sz w:val="28"/>
          <w:szCs w:val="44"/>
        </w:rPr>
        <w:t>响应须知</w:t>
      </w:r>
    </w:p>
    <w:p w14:paraId="4999194C">
      <w:pPr>
        <w:jc w:val="center"/>
        <w:rPr>
          <w:rFonts w:eastAsia="华文中宋"/>
          <w:color w:val="000000"/>
          <w:sz w:val="44"/>
          <w:szCs w:val="44"/>
        </w:rPr>
      </w:pPr>
      <w:r>
        <w:rPr>
          <w:rFonts w:hint="eastAsia" w:eastAsia="华文中宋"/>
          <w:color w:val="000000"/>
          <w:sz w:val="44"/>
          <w:szCs w:val="44"/>
        </w:rPr>
        <w:t>响应须知</w:t>
      </w:r>
    </w:p>
    <w:tbl>
      <w:tblPr>
        <w:tblStyle w:val="14"/>
        <w:tblW w:w="9087"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2275"/>
        <w:gridCol w:w="5942"/>
      </w:tblGrid>
      <w:tr w14:paraId="3A4AB35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blHeader/>
          <w:jc w:val="center"/>
        </w:trPr>
        <w:tc>
          <w:tcPr>
            <w:tcW w:w="870" w:type="dxa"/>
            <w:tcBorders>
              <w:top w:val="double" w:color="auto" w:sz="4" w:space="0"/>
            </w:tcBorders>
            <w:vAlign w:val="center"/>
          </w:tcPr>
          <w:p w14:paraId="0A4EFD96">
            <w:pPr>
              <w:pStyle w:val="12"/>
              <w:spacing w:after="0"/>
              <w:ind w:firstLine="0" w:firstLineChars="0"/>
              <w:jc w:val="center"/>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项号</w:t>
            </w:r>
          </w:p>
        </w:tc>
        <w:tc>
          <w:tcPr>
            <w:tcW w:w="2275" w:type="dxa"/>
            <w:tcBorders>
              <w:top w:val="double" w:color="auto" w:sz="4" w:space="0"/>
            </w:tcBorders>
            <w:vAlign w:val="center"/>
          </w:tcPr>
          <w:p w14:paraId="564DFF10">
            <w:pPr>
              <w:pStyle w:val="12"/>
              <w:spacing w:after="0"/>
              <w:ind w:firstLine="320"/>
              <w:jc w:val="center"/>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内容</w:t>
            </w:r>
          </w:p>
        </w:tc>
        <w:tc>
          <w:tcPr>
            <w:tcW w:w="5942" w:type="dxa"/>
            <w:tcBorders>
              <w:top w:val="double" w:color="auto" w:sz="4" w:space="0"/>
            </w:tcBorders>
            <w:vAlign w:val="center"/>
          </w:tcPr>
          <w:p w14:paraId="0185AB24">
            <w:pPr>
              <w:pStyle w:val="12"/>
              <w:spacing w:after="0"/>
              <w:ind w:firstLine="320"/>
              <w:jc w:val="center"/>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说明与要求</w:t>
            </w:r>
          </w:p>
        </w:tc>
      </w:tr>
      <w:tr w14:paraId="12F6FA2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0C3DDF58">
            <w:pPr>
              <w:jc w:val="center"/>
              <w:rPr>
                <w:rFonts w:eastAsia="仿宋_GB2312"/>
                <w:color w:val="000000"/>
                <w:sz w:val="32"/>
                <w:szCs w:val="32"/>
              </w:rPr>
            </w:pPr>
            <w:r>
              <w:rPr>
                <w:rFonts w:eastAsia="仿宋_GB2312"/>
                <w:color w:val="000000"/>
                <w:sz w:val="32"/>
                <w:szCs w:val="32"/>
              </w:rPr>
              <w:t>1</w:t>
            </w:r>
          </w:p>
        </w:tc>
        <w:tc>
          <w:tcPr>
            <w:tcW w:w="2275" w:type="dxa"/>
            <w:vAlign w:val="center"/>
          </w:tcPr>
          <w:p w14:paraId="46E2E4E5">
            <w:pPr>
              <w:jc w:val="center"/>
              <w:rPr>
                <w:rFonts w:eastAsia="仿宋_GB2312"/>
                <w:color w:val="000000"/>
                <w:sz w:val="32"/>
                <w:szCs w:val="32"/>
              </w:rPr>
            </w:pPr>
            <w:r>
              <w:rPr>
                <w:rFonts w:hint="eastAsia" w:eastAsia="仿宋_GB2312"/>
                <w:color w:val="000000"/>
                <w:sz w:val="32"/>
                <w:szCs w:val="32"/>
              </w:rPr>
              <w:t>项目名称</w:t>
            </w:r>
          </w:p>
        </w:tc>
        <w:tc>
          <w:tcPr>
            <w:tcW w:w="5942" w:type="dxa"/>
            <w:vAlign w:val="center"/>
          </w:tcPr>
          <w:p w14:paraId="280BED30">
            <w:pPr>
              <w:adjustRightInd w:val="0"/>
              <w:snapToGrid w:val="0"/>
              <w:rPr>
                <w:rFonts w:eastAsia="仿宋_GB2312"/>
                <w:color w:val="000000"/>
                <w:sz w:val="32"/>
                <w:szCs w:val="32"/>
              </w:rPr>
            </w:pPr>
            <w:r>
              <w:rPr>
                <w:rFonts w:hint="eastAsia" w:ascii="仿宋_GB2312" w:hAnsi="仿宋_GB2312" w:eastAsia="仿宋_GB2312" w:cs="仿宋_GB2312"/>
                <w:color w:val="000000"/>
                <w:sz w:val="32"/>
                <w:szCs w:val="32"/>
              </w:rPr>
              <w:t>东莞市新东欣环保投资有限公司废水车间蒸发器清洗服务项目</w:t>
            </w:r>
          </w:p>
        </w:tc>
      </w:tr>
      <w:tr w14:paraId="46AC01B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28A85250">
            <w:pPr>
              <w:jc w:val="center"/>
              <w:rPr>
                <w:rFonts w:eastAsia="仿宋_GB2312"/>
                <w:color w:val="000000"/>
                <w:sz w:val="32"/>
                <w:szCs w:val="32"/>
              </w:rPr>
            </w:pPr>
            <w:r>
              <w:rPr>
                <w:rFonts w:eastAsia="仿宋_GB2312"/>
                <w:color w:val="000000"/>
                <w:sz w:val="32"/>
                <w:szCs w:val="32"/>
              </w:rPr>
              <w:t>2</w:t>
            </w:r>
          </w:p>
        </w:tc>
        <w:tc>
          <w:tcPr>
            <w:tcW w:w="2275" w:type="dxa"/>
            <w:vAlign w:val="center"/>
          </w:tcPr>
          <w:p w14:paraId="38B029F2">
            <w:pPr>
              <w:jc w:val="center"/>
              <w:rPr>
                <w:rFonts w:eastAsia="仿宋_GB2312"/>
                <w:color w:val="000000"/>
                <w:sz w:val="32"/>
                <w:szCs w:val="32"/>
              </w:rPr>
            </w:pPr>
            <w:r>
              <w:rPr>
                <w:rFonts w:hint="eastAsia" w:eastAsia="仿宋_GB2312"/>
                <w:color w:val="000000"/>
                <w:sz w:val="32"/>
                <w:szCs w:val="32"/>
              </w:rPr>
              <w:t>供货地点</w:t>
            </w:r>
          </w:p>
        </w:tc>
        <w:tc>
          <w:tcPr>
            <w:tcW w:w="5942" w:type="dxa"/>
            <w:vAlign w:val="center"/>
          </w:tcPr>
          <w:p w14:paraId="08D30E8D">
            <w:pPr>
              <w:rPr>
                <w:rFonts w:eastAsia="仿宋_GB2312"/>
                <w:color w:val="000000"/>
                <w:sz w:val="32"/>
                <w:szCs w:val="32"/>
              </w:rPr>
            </w:pPr>
            <w:r>
              <w:rPr>
                <w:rFonts w:hint="eastAsia" w:ascii="仿宋_GB2312" w:hAnsi="仿宋_GB2312" w:eastAsia="仿宋_GB2312" w:cs="仿宋_GB2312"/>
                <w:color w:val="000000"/>
                <w:sz w:val="32"/>
                <w:szCs w:val="32"/>
              </w:rPr>
              <w:t>东莞市新东欣环保投资有限公司</w:t>
            </w:r>
          </w:p>
        </w:tc>
      </w:tr>
      <w:tr w14:paraId="544869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08E67879">
            <w:pPr>
              <w:jc w:val="center"/>
              <w:rPr>
                <w:rFonts w:eastAsia="仿宋_GB2312"/>
                <w:color w:val="000000"/>
                <w:sz w:val="32"/>
                <w:szCs w:val="32"/>
              </w:rPr>
            </w:pPr>
            <w:r>
              <w:rPr>
                <w:rFonts w:eastAsia="仿宋_GB2312"/>
                <w:color w:val="000000"/>
                <w:sz w:val="32"/>
                <w:szCs w:val="32"/>
              </w:rPr>
              <w:t>3</w:t>
            </w:r>
          </w:p>
        </w:tc>
        <w:tc>
          <w:tcPr>
            <w:tcW w:w="2275" w:type="dxa"/>
            <w:vAlign w:val="center"/>
          </w:tcPr>
          <w:p w14:paraId="59A11E5E">
            <w:pPr>
              <w:jc w:val="center"/>
              <w:rPr>
                <w:rFonts w:eastAsia="仿宋_GB2312"/>
                <w:color w:val="000000"/>
                <w:sz w:val="32"/>
                <w:szCs w:val="32"/>
              </w:rPr>
            </w:pPr>
            <w:r>
              <w:rPr>
                <w:rFonts w:hint="eastAsia" w:eastAsia="仿宋_GB2312"/>
                <w:color w:val="000000"/>
                <w:sz w:val="32"/>
                <w:szCs w:val="32"/>
              </w:rPr>
              <w:t>项目性质</w:t>
            </w:r>
          </w:p>
        </w:tc>
        <w:tc>
          <w:tcPr>
            <w:tcW w:w="5942" w:type="dxa"/>
            <w:vAlign w:val="center"/>
          </w:tcPr>
          <w:p w14:paraId="62FD85C5">
            <w:pPr>
              <w:rPr>
                <w:rFonts w:eastAsia="仿宋_GB2312"/>
                <w:color w:val="000000"/>
                <w:sz w:val="32"/>
                <w:szCs w:val="32"/>
              </w:rPr>
            </w:pPr>
            <w:r>
              <w:rPr>
                <w:rFonts w:hint="eastAsia" w:eastAsia="仿宋_GB2312"/>
                <w:color w:val="000000"/>
                <w:sz w:val="32"/>
                <w:szCs w:val="32"/>
              </w:rPr>
              <w:t>服务类采购</w:t>
            </w:r>
          </w:p>
        </w:tc>
      </w:tr>
      <w:tr w14:paraId="5BE3C3F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0408C47F">
            <w:pPr>
              <w:jc w:val="center"/>
              <w:rPr>
                <w:rFonts w:eastAsia="仿宋_GB2312"/>
                <w:color w:val="000000"/>
                <w:sz w:val="32"/>
                <w:szCs w:val="32"/>
              </w:rPr>
            </w:pPr>
            <w:r>
              <w:rPr>
                <w:rFonts w:eastAsia="仿宋_GB2312"/>
                <w:color w:val="000000"/>
                <w:sz w:val="32"/>
                <w:szCs w:val="32"/>
              </w:rPr>
              <w:t>4</w:t>
            </w:r>
          </w:p>
        </w:tc>
        <w:tc>
          <w:tcPr>
            <w:tcW w:w="2275" w:type="dxa"/>
            <w:vAlign w:val="center"/>
          </w:tcPr>
          <w:p w14:paraId="11538428">
            <w:pPr>
              <w:jc w:val="center"/>
              <w:rPr>
                <w:rFonts w:eastAsia="仿宋_GB2312"/>
                <w:color w:val="000000"/>
                <w:sz w:val="32"/>
                <w:szCs w:val="32"/>
              </w:rPr>
            </w:pPr>
            <w:r>
              <w:rPr>
                <w:rFonts w:hint="eastAsia" w:eastAsia="仿宋_GB2312"/>
                <w:color w:val="000000"/>
                <w:sz w:val="32"/>
                <w:szCs w:val="32"/>
              </w:rPr>
              <w:t>发包要求</w:t>
            </w:r>
          </w:p>
        </w:tc>
        <w:tc>
          <w:tcPr>
            <w:tcW w:w="5942" w:type="dxa"/>
            <w:vAlign w:val="center"/>
          </w:tcPr>
          <w:p w14:paraId="26EE0FAB">
            <w:pPr>
              <w:rPr>
                <w:rFonts w:hint="default" w:eastAsia="仿宋_GB2312"/>
                <w:color w:val="000000"/>
                <w:sz w:val="32"/>
                <w:szCs w:val="32"/>
                <w:lang w:val="en-US" w:eastAsia="zh-CN"/>
              </w:rPr>
            </w:pPr>
            <w:r>
              <w:rPr>
                <w:rFonts w:hint="eastAsia" w:eastAsia="仿宋_GB2312"/>
                <w:color w:val="000000"/>
                <w:sz w:val="32"/>
                <w:szCs w:val="32"/>
                <w:lang w:val="en-US" w:eastAsia="zh-CN"/>
              </w:rPr>
              <w:t>固定单价包干</w:t>
            </w:r>
          </w:p>
        </w:tc>
      </w:tr>
      <w:tr w14:paraId="30EA687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25F41A13">
            <w:pPr>
              <w:jc w:val="center"/>
              <w:rPr>
                <w:rFonts w:eastAsia="仿宋_GB2312"/>
                <w:color w:val="000000"/>
                <w:sz w:val="32"/>
                <w:szCs w:val="32"/>
              </w:rPr>
            </w:pPr>
            <w:r>
              <w:rPr>
                <w:rFonts w:eastAsia="仿宋_GB2312"/>
                <w:color w:val="000000"/>
                <w:sz w:val="32"/>
                <w:szCs w:val="32"/>
              </w:rPr>
              <w:t>5</w:t>
            </w:r>
          </w:p>
        </w:tc>
        <w:tc>
          <w:tcPr>
            <w:tcW w:w="2275" w:type="dxa"/>
            <w:vAlign w:val="center"/>
          </w:tcPr>
          <w:p w14:paraId="6A382E04">
            <w:pPr>
              <w:jc w:val="center"/>
              <w:rPr>
                <w:rFonts w:eastAsia="仿宋_GB2312"/>
                <w:color w:val="000000"/>
                <w:sz w:val="32"/>
                <w:szCs w:val="32"/>
              </w:rPr>
            </w:pPr>
            <w:r>
              <w:rPr>
                <w:rFonts w:hint="eastAsia" w:eastAsia="仿宋_GB2312"/>
                <w:color w:val="000000"/>
                <w:sz w:val="32"/>
                <w:szCs w:val="32"/>
              </w:rPr>
              <w:t>质量标准</w:t>
            </w:r>
          </w:p>
        </w:tc>
        <w:tc>
          <w:tcPr>
            <w:tcW w:w="5942" w:type="dxa"/>
            <w:vAlign w:val="center"/>
          </w:tcPr>
          <w:p w14:paraId="0AFC8024">
            <w:pPr>
              <w:jc w:val="left"/>
              <w:rPr>
                <w:rFonts w:eastAsia="仿宋"/>
                <w:color w:val="000000"/>
                <w:sz w:val="32"/>
                <w:szCs w:val="32"/>
              </w:rPr>
            </w:pPr>
            <w:r>
              <w:rPr>
                <w:rFonts w:hint="eastAsia" w:eastAsia="仿宋"/>
                <w:color w:val="000000"/>
                <w:sz w:val="32"/>
                <w:szCs w:val="32"/>
              </w:rPr>
              <w:t>详见采购文件</w:t>
            </w:r>
          </w:p>
        </w:tc>
      </w:tr>
      <w:tr w14:paraId="2043C32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19AF9900">
            <w:pPr>
              <w:jc w:val="center"/>
              <w:rPr>
                <w:rFonts w:eastAsia="仿宋_GB2312"/>
                <w:color w:val="000000"/>
                <w:sz w:val="32"/>
                <w:szCs w:val="32"/>
              </w:rPr>
            </w:pPr>
            <w:r>
              <w:rPr>
                <w:rFonts w:eastAsia="仿宋_GB2312"/>
                <w:color w:val="000000"/>
                <w:sz w:val="32"/>
                <w:szCs w:val="32"/>
              </w:rPr>
              <w:t>6</w:t>
            </w:r>
          </w:p>
        </w:tc>
        <w:tc>
          <w:tcPr>
            <w:tcW w:w="2275" w:type="dxa"/>
            <w:vAlign w:val="center"/>
          </w:tcPr>
          <w:p w14:paraId="398FF0EA">
            <w:pPr>
              <w:jc w:val="center"/>
              <w:rPr>
                <w:rFonts w:eastAsia="仿宋_GB2312"/>
                <w:color w:val="000000"/>
                <w:sz w:val="32"/>
                <w:szCs w:val="32"/>
              </w:rPr>
            </w:pPr>
            <w:r>
              <w:rPr>
                <w:rFonts w:hint="eastAsia" w:eastAsia="仿宋_GB2312"/>
                <w:color w:val="000000"/>
                <w:sz w:val="32"/>
                <w:szCs w:val="32"/>
              </w:rPr>
              <w:t>供货要求</w:t>
            </w:r>
          </w:p>
        </w:tc>
        <w:tc>
          <w:tcPr>
            <w:tcW w:w="5942" w:type="dxa"/>
            <w:vAlign w:val="center"/>
          </w:tcPr>
          <w:p w14:paraId="6F1F9BDD">
            <w:pPr>
              <w:jc w:val="left"/>
              <w:rPr>
                <w:rFonts w:eastAsia="仿宋_GB2312"/>
                <w:color w:val="000000"/>
                <w:sz w:val="32"/>
                <w:szCs w:val="32"/>
              </w:rPr>
            </w:pPr>
            <w:r>
              <w:rPr>
                <w:rFonts w:hint="eastAsia" w:eastAsia="仿宋_GB2312"/>
                <w:color w:val="000000"/>
                <w:sz w:val="32"/>
                <w:szCs w:val="32"/>
              </w:rPr>
              <w:t>详见采购文件</w:t>
            </w:r>
          </w:p>
        </w:tc>
      </w:tr>
      <w:tr w14:paraId="0198491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03D33D32">
            <w:pPr>
              <w:jc w:val="center"/>
              <w:rPr>
                <w:rFonts w:eastAsia="仿宋_GB2312"/>
                <w:color w:val="000000"/>
                <w:sz w:val="32"/>
                <w:szCs w:val="32"/>
              </w:rPr>
            </w:pPr>
            <w:r>
              <w:rPr>
                <w:rFonts w:eastAsia="仿宋_GB2312"/>
                <w:color w:val="000000"/>
                <w:sz w:val="32"/>
                <w:szCs w:val="32"/>
              </w:rPr>
              <w:t>7</w:t>
            </w:r>
          </w:p>
        </w:tc>
        <w:tc>
          <w:tcPr>
            <w:tcW w:w="2275" w:type="dxa"/>
            <w:vAlign w:val="center"/>
          </w:tcPr>
          <w:p w14:paraId="0492E83C">
            <w:pPr>
              <w:jc w:val="center"/>
              <w:rPr>
                <w:rFonts w:eastAsia="仿宋_GB2312"/>
                <w:color w:val="000000"/>
                <w:sz w:val="32"/>
                <w:szCs w:val="32"/>
              </w:rPr>
            </w:pPr>
            <w:r>
              <w:rPr>
                <w:rFonts w:hint="eastAsia" w:eastAsia="仿宋_GB2312"/>
                <w:color w:val="000000"/>
                <w:sz w:val="32"/>
                <w:szCs w:val="32"/>
              </w:rPr>
              <w:t>单位资质要求</w:t>
            </w:r>
          </w:p>
        </w:tc>
        <w:tc>
          <w:tcPr>
            <w:tcW w:w="5942" w:type="dxa"/>
            <w:vAlign w:val="center"/>
          </w:tcPr>
          <w:p w14:paraId="2B1904C4">
            <w:pPr>
              <w:adjustRightInd w:val="0"/>
              <w:snapToGrid w:val="0"/>
              <w:rPr>
                <w:rFonts w:eastAsia="仿宋_GB2312"/>
                <w:color w:val="000000"/>
                <w:sz w:val="32"/>
                <w:szCs w:val="32"/>
              </w:rPr>
            </w:pPr>
            <w:r>
              <w:rPr>
                <w:rFonts w:hint="eastAsia" w:eastAsia="仿宋_GB2312"/>
                <w:color w:val="000000"/>
                <w:sz w:val="32"/>
                <w:szCs w:val="32"/>
              </w:rPr>
              <w:t>详见采购文件</w:t>
            </w:r>
          </w:p>
        </w:tc>
      </w:tr>
      <w:tr w14:paraId="4012AB0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1C2D7ECF">
            <w:pPr>
              <w:jc w:val="center"/>
              <w:rPr>
                <w:rFonts w:eastAsia="仿宋_GB2312"/>
                <w:color w:val="000000"/>
                <w:sz w:val="32"/>
                <w:szCs w:val="32"/>
              </w:rPr>
            </w:pPr>
            <w:r>
              <w:rPr>
                <w:rFonts w:eastAsia="仿宋_GB2312"/>
                <w:color w:val="000000"/>
                <w:sz w:val="32"/>
                <w:szCs w:val="32"/>
              </w:rPr>
              <w:t>8</w:t>
            </w:r>
          </w:p>
        </w:tc>
        <w:tc>
          <w:tcPr>
            <w:tcW w:w="2275" w:type="dxa"/>
          </w:tcPr>
          <w:p w14:paraId="7F93B8D5">
            <w:pPr>
              <w:spacing w:line="500" w:lineRule="exact"/>
              <w:jc w:val="center"/>
              <w:rPr>
                <w:rFonts w:eastAsia="仿宋_GB2312"/>
                <w:color w:val="000000"/>
                <w:sz w:val="32"/>
                <w:szCs w:val="32"/>
              </w:rPr>
            </w:pPr>
            <w:r>
              <w:rPr>
                <w:rFonts w:hint="eastAsia" w:eastAsia="仿宋_GB2312"/>
                <w:color w:val="000000"/>
                <w:sz w:val="32"/>
                <w:szCs w:val="32"/>
              </w:rPr>
              <w:t>保证金金额及缴纳方式</w:t>
            </w:r>
          </w:p>
        </w:tc>
        <w:tc>
          <w:tcPr>
            <w:tcW w:w="5942" w:type="dxa"/>
            <w:vAlign w:val="center"/>
          </w:tcPr>
          <w:p w14:paraId="5883E16A">
            <w:pPr>
              <w:adjustRightInd w:val="0"/>
              <w:snapToGrid w:val="0"/>
              <w:rPr>
                <w:rFonts w:eastAsia="仿宋_GB2312"/>
                <w:color w:val="000000"/>
                <w:sz w:val="32"/>
                <w:szCs w:val="32"/>
              </w:rPr>
            </w:pPr>
            <w:r>
              <w:rPr>
                <w:rFonts w:hint="eastAsia" w:eastAsia="仿宋_GB2312"/>
                <w:color w:val="000000"/>
                <w:sz w:val="32"/>
                <w:szCs w:val="32"/>
              </w:rPr>
              <w:t>详见采购文件</w:t>
            </w:r>
          </w:p>
        </w:tc>
      </w:tr>
      <w:tr w14:paraId="7EBFA4D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49CAE997">
            <w:pPr>
              <w:jc w:val="center"/>
              <w:rPr>
                <w:rFonts w:eastAsia="仿宋_GB2312"/>
                <w:color w:val="000000"/>
                <w:sz w:val="32"/>
                <w:szCs w:val="32"/>
              </w:rPr>
            </w:pPr>
            <w:r>
              <w:rPr>
                <w:rFonts w:eastAsia="仿宋_GB2312"/>
                <w:color w:val="000000"/>
                <w:sz w:val="32"/>
                <w:szCs w:val="32"/>
              </w:rPr>
              <w:t>9</w:t>
            </w:r>
          </w:p>
        </w:tc>
        <w:tc>
          <w:tcPr>
            <w:tcW w:w="2275" w:type="dxa"/>
          </w:tcPr>
          <w:p w14:paraId="6B4D8EA2">
            <w:pPr>
              <w:jc w:val="center"/>
              <w:rPr>
                <w:rFonts w:eastAsia="仿宋_GB2312"/>
                <w:color w:val="000000"/>
                <w:sz w:val="32"/>
                <w:szCs w:val="32"/>
              </w:rPr>
            </w:pPr>
            <w:r>
              <w:rPr>
                <w:rFonts w:hint="eastAsia" w:eastAsia="仿宋_GB2312"/>
                <w:color w:val="000000"/>
                <w:sz w:val="32"/>
                <w:szCs w:val="32"/>
              </w:rPr>
              <w:t>询价有效期</w:t>
            </w:r>
          </w:p>
        </w:tc>
        <w:tc>
          <w:tcPr>
            <w:tcW w:w="5942" w:type="dxa"/>
            <w:vAlign w:val="center"/>
          </w:tcPr>
          <w:p w14:paraId="658CA082">
            <w:pPr>
              <w:adjustRightInd w:val="0"/>
              <w:snapToGrid w:val="0"/>
              <w:rPr>
                <w:rFonts w:eastAsia="仿宋_GB2312"/>
                <w:color w:val="000000"/>
                <w:sz w:val="32"/>
                <w:szCs w:val="32"/>
              </w:rPr>
            </w:pPr>
            <w:r>
              <w:rPr>
                <w:rFonts w:eastAsia="仿宋_GB2312"/>
                <w:color w:val="000000"/>
                <w:sz w:val="32"/>
                <w:szCs w:val="32"/>
              </w:rPr>
              <w:t>90</w:t>
            </w:r>
            <w:r>
              <w:rPr>
                <w:rFonts w:hint="eastAsia" w:eastAsia="仿宋_GB2312"/>
                <w:color w:val="000000"/>
                <w:sz w:val="32"/>
                <w:szCs w:val="32"/>
              </w:rPr>
              <w:t>天</w:t>
            </w:r>
          </w:p>
        </w:tc>
      </w:tr>
      <w:tr w14:paraId="026474D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666AA799">
            <w:pPr>
              <w:jc w:val="center"/>
              <w:rPr>
                <w:rFonts w:eastAsia="仿宋_GB2312"/>
                <w:color w:val="000000"/>
                <w:sz w:val="32"/>
                <w:szCs w:val="32"/>
              </w:rPr>
            </w:pPr>
          </w:p>
        </w:tc>
        <w:tc>
          <w:tcPr>
            <w:tcW w:w="2275" w:type="dxa"/>
            <w:vAlign w:val="center"/>
          </w:tcPr>
          <w:p w14:paraId="023C131A">
            <w:pPr>
              <w:jc w:val="center"/>
              <w:rPr>
                <w:rFonts w:eastAsia="仿宋_GB2312"/>
                <w:color w:val="000000"/>
                <w:sz w:val="32"/>
                <w:szCs w:val="32"/>
              </w:rPr>
            </w:pPr>
            <w:r>
              <w:rPr>
                <w:rFonts w:hint="eastAsia" w:eastAsia="仿宋_GB2312"/>
                <w:color w:val="000000"/>
                <w:sz w:val="32"/>
                <w:szCs w:val="32"/>
              </w:rPr>
              <w:t>响应人不得存在的情形</w:t>
            </w:r>
          </w:p>
        </w:tc>
        <w:tc>
          <w:tcPr>
            <w:tcW w:w="5942" w:type="dxa"/>
            <w:vAlign w:val="center"/>
          </w:tcPr>
          <w:p w14:paraId="29E2CFAF">
            <w:pPr>
              <w:adjustRightInd w:val="0"/>
              <w:snapToGrid w:val="0"/>
              <w:rPr>
                <w:rFonts w:eastAsia="仿宋_GB2312"/>
                <w:color w:val="000000"/>
                <w:sz w:val="32"/>
                <w:szCs w:val="32"/>
              </w:rPr>
            </w:pPr>
            <w:r>
              <w:rPr>
                <w:rFonts w:eastAsia="仿宋_GB2312"/>
                <w:color w:val="000000"/>
                <w:sz w:val="32"/>
                <w:szCs w:val="32"/>
              </w:rPr>
              <w:t>1</w:t>
            </w:r>
            <w:r>
              <w:rPr>
                <w:rFonts w:hint="eastAsia" w:eastAsia="仿宋_GB2312"/>
                <w:color w:val="000000"/>
                <w:sz w:val="32"/>
                <w:szCs w:val="32"/>
              </w:rPr>
              <w:t>、响应人不得存在下列情形之一，否则采购人有权取消其参与响应资格或成交资格：</w:t>
            </w:r>
          </w:p>
          <w:p w14:paraId="75E43C1C">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1</w:t>
            </w:r>
            <w:r>
              <w:rPr>
                <w:rFonts w:hint="eastAsia" w:eastAsia="仿宋_GB2312"/>
                <w:color w:val="000000"/>
                <w:sz w:val="32"/>
                <w:szCs w:val="32"/>
              </w:rPr>
              <w:t>）为采购人不具有独立法人资格的附属机构（单位）；</w:t>
            </w:r>
          </w:p>
          <w:p w14:paraId="42B7AB85">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2</w:t>
            </w:r>
            <w:r>
              <w:rPr>
                <w:rFonts w:hint="eastAsia" w:eastAsia="仿宋_GB2312"/>
                <w:color w:val="000000"/>
                <w:sz w:val="32"/>
                <w:szCs w:val="32"/>
              </w:rPr>
              <w:t>）被责令停业的；</w:t>
            </w:r>
            <w:r>
              <w:rPr>
                <w:rFonts w:eastAsia="仿宋_GB2312"/>
                <w:color w:val="000000"/>
                <w:sz w:val="32"/>
                <w:szCs w:val="32"/>
              </w:rPr>
              <w:t xml:space="preserve"> </w:t>
            </w:r>
          </w:p>
          <w:p w14:paraId="3353FBBF">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3</w:t>
            </w:r>
            <w:r>
              <w:rPr>
                <w:rFonts w:hint="eastAsia" w:eastAsia="仿宋_GB2312"/>
                <w:color w:val="000000"/>
                <w:sz w:val="32"/>
                <w:szCs w:val="32"/>
              </w:rPr>
              <w:t>）被暂停或取消投标资格的；</w:t>
            </w:r>
            <w:r>
              <w:rPr>
                <w:rFonts w:eastAsia="仿宋_GB2312"/>
                <w:color w:val="000000"/>
                <w:sz w:val="32"/>
                <w:szCs w:val="32"/>
              </w:rPr>
              <w:t xml:space="preserve"> </w:t>
            </w:r>
          </w:p>
          <w:p w14:paraId="76957933">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4</w:t>
            </w:r>
            <w:r>
              <w:rPr>
                <w:rFonts w:hint="eastAsia" w:eastAsia="仿宋_GB2312"/>
                <w:color w:val="000000"/>
                <w:sz w:val="32"/>
                <w:szCs w:val="32"/>
              </w:rPr>
              <w:t>）财产被接管或冻结的；</w:t>
            </w:r>
          </w:p>
          <w:p w14:paraId="40EB3A7D">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5</w:t>
            </w:r>
            <w:r>
              <w:rPr>
                <w:rFonts w:hint="eastAsia" w:eastAsia="仿宋_GB2312"/>
                <w:color w:val="000000"/>
                <w:sz w:val="32"/>
                <w:szCs w:val="32"/>
              </w:rPr>
              <w:t>）在最近三年内有骗取中标、严重违约、重大质量或安全问题的；</w:t>
            </w:r>
          </w:p>
          <w:p w14:paraId="5FB53493">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6</w:t>
            </w:r>
            <w:r>
              <w:rPr>
                <w:rFonts w:hint="eastAsia" w:eastAsia="仿宋_GB2312"/>
                <w:color w:val="000000"/>
                <w:sz w:val="32"/>
                <w:szCs w:val="32"/>
              </w:rPr>
              <w:t>）法律法规规定的其他情形；</w:t>
            </w:r>
          </w:p>
          <w:p w14:paraId="2FCF05D1">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7</w:t>
            </w:r>
            <w:r>
              <w:rPr>
                <w:rFonts w:hint="eastAsia" w:eastAsia="仿宋_GB2312"/>
                <w:color w:val="000000"/>
                <w:sz w:val="32"/>
                <w:szCs w:val="32"/>
              </w:rPr>
              <w:t>）询价文件规定的其他情形：见询价公告或询价响应须知前附表。</w:t>
            </w:r>
          </w:p>
          <w:p w14:paraId="1CC34A53">
            <w:pPr>
              <w:adjustRightInd w:val="0"/>
              <w:snapToGrid w:val="0"/>
              <w:rPr>
                <w:rFonts w:eastAsia="仿宋_GB2312"/>
                <w:color w:val="000000"/>
                <w:sz w:val="32"/>
                <w:szCs w:val="32"/>
              </w:rPr>
            </w:pPr>
            <w:r>
              <w:rPr>
                <w:rFonts w:eastAsia="仿宋_GB2312"/>
                <w:color w:val="000000"/>
                <w:sz w:val="32"/>
                <w:szCs w:val="32"/>
              </w:rPr>
              <w:t>2</w:t>
            </w:r>
            <w:r>
              <w:rPr>
                <w:rFonts w:hint="eastAsia" w:eastAsia="仿宋_GB2312"/>
                <w:color w:val="000000"/>
                <w:sz w:val="32"/>
                <w:szCs w:val="32"/>
              </w:rPr>
              <w:t>、响应人在询价活动中有下列行为之一的，应视情节轻重，暂停或取消其参与采购人及东实集团旗下采购项目的资格：</w:t>
            </w:r>
          </w:p>
          <w:p w14:paraId="3CEFB6E3">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1</w:t>
            </w:r>
            <w:r>
              <w:rPr>
                <w:rFonts w:hint="eastAsia" w:eastAsia="仿宋_GB2312"/>
                <w:color w:val="000000"/>
                <w:sz w:val="32"/>
                <w:szCs w:val="32"/>
              </w:rPr>
              <w:t>）响应人之间相互串通、或与采购人、代理机构、评审委员会成员串通询价，损害采购人或者其他响应人的合法权益的；</w:t>
            </w:r>
            <w:r>
              <w:rPr>
                <w:rFonts w:eastAsia="仿宋_GB2312"/>
                <w:color w:val="000000"/>
                <w:sz w:val="32"/>
                <w:szCs w:val="32"/>
              </w:rPr>
              <w:t xml:space="preserve"> </w:t>
            </w:r>
          </w:p>
          <w:p w14:paraId="5EAE8B4E">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2</w:t>
            </w:r>
            <w:r>
              <w:rPr>
                <w:rFonts w:hint="eastAsia" w:eastAsia="仿宋_GB2312"/>
                <w:color w:val="000000"/>
                <w:sz w:val="32"/>
                <w:szCs w:val="32"/>
              </w:rPr>
              <w:t>）向采购人、代理机构、评审委会成员或其他相关工作人员行贿的；</w:t>
            </w:r>
            <w:r>
              <w:rPr>
                <w:rFonts w:eastAsia="仿宋_GB2312"/>
                <w:color w:val="000000"/>
                <w:sz w:val="32"/>
                <w:szCs w:val="32"/>
              </w:rPr>
              <w:t xml:space="preserve"> </w:t>
            </w:r>
          </w:p>
          <w:p w14:paraId="39EBBAC8">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3</w:t>
            </w:r>
            <w:r>
              <w:rPr>
                <w:rFonts w:hint="eastAsia" w:eastAsia="仿宋_GB2312"/>
                <w:color w:val="000000"/>
                <w:sz w:val="32"/>
                <w:szCs w:val="32"/>
              </w:rPr>
              <w:t>）以他人名义询价或以其他方式弄虚作假，骗取成交的；</w:t>
            </w:r>
            <w:r>
              <w:rPr>
                <w:rFonts w:eastAsia="仿宋_GB2312"/>
                <w:color w:val="000000"/>
                <w:sz w:val="32"/>
                <w:szCs w:val="32"/>
              </w:rPr>
              <w:t xml:space="preserve"> </w:t>
            </w:r>
          </w:p>
          <w:p w14:paraId="7AC5A8BA">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4</w:t>
            </w:r>
            <w:r>
              <w:rPr>
                <w:rFonts w:hint="eastAsia" w:eastAsia="仿宋_GB2312"/>
                <w:color w:val="000000"/>
                <w:sz w:val="32"/>
                <w:szCs w:val="32"/>
              </w:rPr>
              <w:t>）成交人私自将成交项目转让给他人的，将成交项目肢解后分别转让给他人的；</w:t>
            </w:r>
            <w:r>
              <w:rPr>
                <w:rFonts w:eastAsia="仿宋_GB2312"/>
                <w:color w:val="000000"/>
                <w:sz w:val="32"/>
                <w:szCs w:val="32"/>
              </w:rPr>
              <w:t xml:space="preserve"> </w:t>
            </w:r>
          </w:p>
          <w:p w14:paraId="7F1E3FA7">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5</w:t>
            </w:r>
            <w:r>
              <w:rPr>
                <w:rFonts w:hint="eastAsia" w:eastAsia="仿宋_GB2312"/>
                <w:color w:val="000000"/>
                <w:sz w:val="32"/>
                <w:szCs w:val="32"/>
              </w:rPr>
              <w:t>）成交人无正当理由不与采购人订立合同，在签订合同时向采购人提出附加条件，或者不按照询价文件要求提交履约担保的；</w:t>
            </w:r>
          </w:p>
          <w:p w14:paraId="3D94DF0B">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6</w:t>
            </w:r>
            <w:r>
              <w:rPr>
                <w:rFonts w:hint="eastAsia" w:eastAsia="仿宋_GB2312"/>
                <w:color w:val="000000"/>
                <w:sz w:val="32"/>
                <w:szCs w:val="32"/>
              </w:rPr>
              <w:t>）响应人捏造事实、伪造材料或者以非法手段取得证明材料进行投诉，给他人造成损失的；</w:t>
            </w:r>
            <w:r>
              <w:rPr>
                <w:rFonts w:eastAsia="仿宋_GB2312"/>
                <w:color w:val="000000"/>
                <w:sz w:val="32"/>
                <w:szCs w:val="32"/>
              </w:rPr>
              <w:t xml:space="preserve"> </w:t>
            </w:r>
          </w:p>
          <w:p w14:paraId="3AAB53CB">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7</w:t>
            </w:r>
            <w:r>
              <w:rPr>
                <w:rFonts w:hint="eastAsia" w:eastAsia="仿宋_GB2312"/>
                <w:color w:val="000000"/>
                <w:sz w:val="32"/>
                <w:szCs w:val="32"/>
              </w:rPr>
              <w:t>）相关工作人员应当回避而不回避的；</w:t>
            </w:r>
            <w:r>
              <w:rPr>
                <w:rFonts w:eastAsia="仿宋_GB2312"/>
                <w:color w:val="000000"/>
                <w:sz w:val="32"/>
                <w:szCs w:val="32"/>
              </w:rPr>
              <w:t xml:space="preserve"> </w:t>
            </w:r>
          </w:p>
          <w:p w14:paraId="6393430C">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8</w:t>
            </w:r>
            <w:r>
              <w:rPr>
                <w:rFonts w:hint="eastAsia" w:eastAsia="仿宋_GB2312"/>
                <w:color w:val="000000"/>
                <w:sz w:val="32"/>
                <w:szCs w:val="32"/>
              </w:rPr>
              <w:t>）其他违法违规的行为。</w:t>
            </w:r>
          </w:p>
          <w:p w14:paraId="61C1C494">
            <w:pPr>
              <w:adjustRightInd w:val="0"/>
              <w:snapToGrid w:val="0"/>
              <w:rPr>
                <w:rFonts w:eastAsia="仿宋_GB2312"/>
                <w:color w:val="000000"/>
                <w:sz w:val="32"/>
                <w:szCs w:val="32"/>
              </w:rPr>
            </w:pPr>
            <w:r>
              <w:rPr>
                <w:rFonts w:eastAsia="仿宋_GB2312"/>
                <w:color w:val="000000"/>
                <w:sz w:val="32"/>
                <w:szCs w:val="32"/>
              </w:rPr>
              <w:t>3</w:t>
            </w:r>
            <w:r>
              <w:rPr>
                <w:rFonts w:hint="eastAsia" w:eastAsia="仿宋_GB2312"/>
                <w:color w:val="000000"/>
                <w:sz w:val="32"/>
                <w:szCs w:val="32"/>
              </w:rPr>
              <w:t>、有下列情形之一的，视为响应人串通询价，其响应无效：</w:t>
            </w:r>
          </w:p>
          <w:p w14:paraId="05DCF45F">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1</w:t>
            </w:r>
            <w:r>
              <w:rPr>
                <w:rFonts w:hint="eastAsia" w:eastAsia="仿宋_GB2312"/>
                <w:color w:val="000000"/>
                <w:sz w:val="32"/>
                <w:szCs w:val="32"/>
              </w:rPr>
              <w:t>）不同响应人的响应文件由同一单位或者个人编制；</w:t>
            </w:r>
          </w:p>
          <w:p w14:paraId="50E6BF38">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2</w:t>
            </w:r>
            <w:r>
              <w:rPr>
                <w:rFonts w:hint="eastAsia" w:eastAsia="仿宋_GB2312"/>
                <w:color w:val="000000"/>
                <w:sz w:val="32"/>
                <w:szCs w:val="32"/>
              </w:rPr>
              <w:t>）不同响应人委托同一单位或者个人办理响应事宜；</w:t>
            </w:r>
          </w:p>
          <w:p w14:paraId="78ED22DC">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3</w:t>
            </w:r>
            <w:r>
              <w:rPr>
                <w:rFonts w:hint="eastAsia" w:eastAsia="仿宋_GB2312"/>
                <w:color w:val="000000"/>
                <w:sz w:val="32"/>
                <w:szCs w:val="32"/>
              </w:rPr>
              <w:t>）不同响应人的响应文件载明的项目管理成员或者联系人员为同一人；</w:t>
            </w:r>
          </w:p>
          <w:p w14:paraId="5AF2A0DA">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4</w:t>
            </w:r>
            <w:r>
              <w:rPr>
                <w:rFonts w:hint="eastAsia" w:eastAsia="仿宋_GB2312"/>
                <w:color w:val="000000"/>
                <w:sz w:val="32"/>
                <w:szCs w:val="32"/>
              </w:rPr>
              <w:t>）不同响应人的响应文件异常一致或者响应报价呈规律性差异；</w:t>
            </w:r>
          </w:p>
          <w:p w14:paraId="6C02F136">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5</w:t>
            </w:r>
            <w:r>
              <w:rPr>
                <w:rFonts w:hint="eastAsia" w:eastAsia="仿宋_GB2312"/>
                <w:color w:val="000000"/>
                <w:sz w:val="32"/>
                <w:szCs w:val="32"/>
              </w:rPr>
              <w:t>）不同响应人的响应文件相互混装；</w:t>
            </w:r>
          </w:p>
          <w:p w14:paraId="164B07B4">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6</w:t>
            </w:r>
            <w:r>
              <w:rPr>
                <w:rFonts w:hint="eastAsia" w:eastAsia="仿宋_GB2312"/>
                <w:color w:val="000000"/>
                <w:sz w:val="32"/>
                <w:szCs w:val="32"/>
              </w:rPr>
              <w:t>）不同响应人的响应保证金从同一单位或者个人的账户转出。</w:t>
            </w:r>
          </w:p>
          <w:p w14:paraId="596E792A">
            <w:pPr>
              <w:adjustRightInd w:val="0"/>
              <w:snapToGrid w:val="0"/>
              <w:rPr>
                <w:rFonts w:eastAsia="仿宋_GB2312"/>
                <w:color w:val="000000"/>
                <w:sz w:val="32"/>
                <w:szCs w:val="32"/>
              </w:rPr>
            </w:pPr>
            <w:r>
              <w:rPr>
                <w:rFonts w:eastAsia="仿宋_GB2312"/>
                <w:color w:val="000000"/>
                <w:sz w:val="32"/>
                <w:szCs w:val="32"/>
              </w:rPr>
              <w:t>4</w:t>
            </w:r>
            <w:r>
              <w:rPr>
                <w:rFonts w:hint="eastAsia" w:eastAsia="仿宋_GB2312"/>
                <w:color w:val="000000"/>
                <w:sz w:val="32"/>
                <w:szCs w:val="32"/>
              </w:rPr>
              <w:t>、使用通过受让或者租借等方式获取的资格、资质证书响应的，属于以他人名义询价，其响应无效：</w:t>
            </w:r>
          </w:p>
          <w:p w14:paraId="058EDC7A">
            <w:pPr>
              <w:adjustRightInd w:val="0"/>
              <w:snapToGrid w:val="0"/>
              <w:rPr>
                <w:rFonts w:eastAsia="仿宋_GB2312"/>
                <w:color w:val="000000"/>
                <w:sz w:val="32"/>
                <w:szCs w:val="32"/>
              </w:rPr>
            </w:pPr>
            <w:r>
              <w:rPr>
                <w:rFonts w:eastAsia="仿宋_GB2312"/>
                <w:color w:val="000000"/>
                <w:sz w:val="32"/>
                <w:szCs w:val="32"/>
              </w:rPr>
              <w:t>5</w:t>
            </w:r>
            <w:r>
              <w:rPr>
                <w:rFonts w:hint="eastAsia" w:eastAsia="仿宋_GB2312"/>
                <w:color w:val="000000"/>
                <w:sz w:val="32"/>
                <w:szCs w:val="32"/>
              </w:rPr>
              <w:t>、有下列情形之一的，属于以其他方式弄虚作假的行为，其响应无效：</w:t>
            </w:r>
          </w:p>
          <w:p w14:paraId="7BC9CEC6">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1</w:t>
            </w:r>
            <w:r>
              <w:rPr>
                <w:rFonts w:hint="eastAsia" w:eastAsia="仿宋_GB2312"/>
                <w:color w:val="000000"/>
                <w:sz w:val="32"/>
                <w:szCs w:val="32"/>
              </w:rPr>
              <w:t>）使用伪造、变造的许可证件；</w:t>
            </w:r>
          </w:p>
          <w:p w14:paraId="5837EE93">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2</w:t>
            </w:r>
            <w:r>
              <w:rPr>
                <w:rFonts w:hint="eastAsia" w:eastAsia="仿宋_GB2312"/>
                <w:color w:val="000000"/>
                <w:sz w:val="32"/>
                <w:szCs w:val="32"/>
              </w:rPr>
              <w:t>）提供虚假的财务状况或者业绩；</w:t>
            </w:r>
            <w:r>
              <w:rPr>
                <w:rFonts w:eastAsia="仿宋_GB2312"/>
                <w:color w:val="000000"/>
                <w:sz w:val="32"/>
                <w:szCs w:val="32"/>
              </w:rPr>
              <w:t xml:space="preserve"> </w:t>
            </w:r>
          </w:p>
          <w:p w14:paraId="003070BC">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3</w:t>
            </w:r>
            <w:r>
              <w:rPr>
                <w:rFonts w:hint="eastAsia" w:eastAsia="仿宋_GB2312"/>
                <w:color w:val="000000"/>
                <w:sz w:val="32"/>
                <w:szCs w:val="32"/>
              </w:rPr>
              <w:t>）提供虚假的项目负责人或者主要技术人员简历、劳动关系证明；</w:t>
            </w:r>
            <w:r>
              <w:rPr>
                <w:rFonts w:eastAsia="仿宋_GB2312"/>
                <w:color w:val="000000"/>
                <w:sz w:val="32"/>
                <w:szCs w:val="32"/>
              </w:rPr>
              <w:t xml:space="preserve"> </w:t>
            </w:r>
          </w:p>
          <w:p w14:paraId="63344C2A">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4</w:t>
            </w:r>
            <w:r>
              <w:rPr>
                <w:rFonts w:hint="eastAsia" w:eastAsia="仿宋_GB2312"/>
                <w:color w:val="000000"/>
                <w:sz w:val="32"/>
                <w:szCs w:val="32"/>
              </w:rPr>
              <w:t>）提供虚假的信用状况；</w:t>
            </w:r>
          </w:p>
          <w:p w14:paraId="7B9DDD03">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5</w:t>
            </w:r>
            <w:r>
              <w:rPr>
                <w:rFonts w:hint="eastAsia" w:eastAsia="仿宋_GB2312"/>
                <w:color w:val="000000"/>
                <w:sz w:val="32"/>
                <w:szCs w:val="32"/>
              </w:rPr>
              <w:t>）其他弄虚作假的行为。</w:t>
            </w:r>
          </w:p>
          <w:p w14:paraId="3C288167">
            <w:pPr>
              <w:adjustRightInd w:val="0"/>
              <w:snapToGrid w:val="0"/>
              <w:rPr>
                <w:rFonts w:eastAsia="仿宋_GB2312"/>
                <w:color w:val="000000"/>
                <w:sz w:val="32"/>
                <w:szCs w:val="32"/>
              </w:rPr>
            </w:pPr>
            <w:r>
              <w:rPr>
                <w:rFonts w:eastAsia="仿宋_GB2312"/>
                <w:color w:val="000000"/>
                <w:sz w:val="32"/>
                <w:szCs w:val="32"/>
              </w:rPr>
              <w:t>6</w:t>
            </w:r>
            <w:r>
              <w:rPr>
                <w:rFonts w:hint="eastAsia" w:eastAsia="仿宋_GB2312"/>
                <w:color w:val="000000"/>
                <w:sz w:val="32"/>
                <w:szCs w:val="32"/>
              </w:rPr>
              <w:t>、响应人相关工作人员与采购人或采购代理机构有以下利害关系之一的，应当回避：</w:t>
            </w:r>
            <w:r>
              <w:rPr>
                <w:rFonts w:eastAsia="仿宋_GB2312"/>
                <w:color w:val="000000"/>
                <w:sz w:val="32"/>
                <w:szCs w:val="32"/>
              </w:rPr>
              <w:t xml:space="preserve"> </w:t>
            </w:r>
          </w:p>
          <w:p w14:paraId="4052C0CD">
            <w:pPr>
              <w:adjustRightInd w:val="0"/>
              <w:snapToGrid w:val="0"/>
              <w:rPr>
                <w:rFonts w:eastAsia="仿宋_GB2312"/>
                <w:color w:val="000000"/>
                <w:sz w:val="32"/>
                <w:szCs w:val="32"/>
              </w:rPr>
            </w:pPr>
            <w:r>
              <w:rPr>
                <w:rFonts w:hint="eastAsia" w:eastAsia="仿宋_GB2312"/>
                <w:color w:val="000000"/>
                <w:sz w:val="32"/>
                <w:szCs w:val="32"/>
              </w:rPr>
              <w:t>（一）是其主要负责人的近亲属的；</w:t>
            </w:r>
          </w:p>
          <w:p w14:paraId="49B136A6">
            <w:pPr>
              <w:adjustRightInd w:val="0"/>
              <w:snapToGrid w:val="0"/>
              <w:rPr>
                <w:rFonts w:eastAsia="仿宋_GB2312"/>
                <w:color w:val="000000"/>
                <w:sz w:val="32"/>
                <w:szCs w:val="32"/>
              </w:rPr>
            </w:pPr>
            <w:r>
              <w:rPr>
                <w:rFonts w:hint="eastAsia" w:eastAsia="仿宋_GB2312"/>
                <w:color w:val="000000"/>
                <w:sz w:val="32"/>
                <w:szCs w:val="32"/>
              </w:rPr>
              <w:t>（二）询价活动前</w:t>
            </w:r>
            <w:r>
              <w:rPr>
                <w:rFonts w:eastAsia="仿宋_GB2312"/>
                <w:color w:val="000000"/>
                <w:sz w:val="32"/>
                <w:szCs w:val="32"/>
              </w:rPr>
              <w:t>3</w:t>
            </w:r>
            <w:r>
              <w:rPr>
                <w:rFonts w:hint="eastAsia" w:eastAsia="仿宋_GB2312"/>
                <w:color w:val="000000"/>
                <w:sz w:val="32"/>
                <w:szCs w:val="32"/>
              </w:rPr>
              <w:t>年内与其存在劳动关系，担任其董事、监事，是其控股股东或实际控制人，或存在其他经济利益关系，可能影响询价活动公平公正的；</w:t>
            </w:r>
          </w:p>
          <w:p w14:paraId="17367C33">
            <w:pPr>
              <w:adjustRightInd w:val="0"/>
              <w:snapToGrid w:val="0"/>
              <w:rPr>
                <w:rFonts w:eastAsia="仿宋_GB2312"/>
                <w:color w:val="000000"/>
                <w:sz w:val="32"/>
                <w:szCs w:val="32"/>
              </w:rPr>
            </w:pPr>
            <w:r>
              <w:rPr>
                <w:rFonts w:hint="eastAsia" w:eastAsia="仿宋_GB2312"/>
                <w:color w:val="000000"/>
                <w:sz w:val="32"/>
                <w:szCs w:val="32"/>
              </w:rPr>
              <w:t>（三）其他可能影响询价活动公平、公正进行的关系。</w:t>
            </w:r>
          </w:p>
        </w:tc>
      </w:tr>
      <w:tr w14:paraId="077CFA0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7195C475">
            <w:pPr>
              <w:jc w:val="center"/>
              <w:rPr>
                <w:rFonts w:eastAsia="仿宋_GB2312"/>
                <w:color w:val="000000"/>
                <w:sz w:val="32"/>
                <w:szCs w:val="32"/>
              </w:rPr>
            </w:pPr>
          </w:p>
        </w:tc>
        <w:tc>
          <w:tcPr>
            <w:tcW w:w="2275" w:type="dxa"/>
            <w:vAlign w:val="center"/>
          </w:tcPr>
          <w:p w14:paraId="2E70F1B9">
            <w:pPr>
              <w:jc w:val="center"/>
              <w:rPr>
                <w:rFonts w:eastAsia="仿宋_GB2312"/>
                <w:color w:val="000000"/>
                <w:sz w:val="32"/>
                <w:szCs w:val="32"/>
              </w:rPr>
            </w:pPr>
            <w:r>
              <w:rPr>
                <w:rFonts w:hint="eastAsia" w:eastAsia="仿宋_GB2312"/>
                <w:color w:val="000000"/>
                <w:sz w:val="32"/>
                <w:szCs w:val="32"/>
              </w:rPr>
              <w:t>……</w:t>
            </w:r>
          </w:p>
        </w:tc>
        <w:tc>
          <w:tcPr>
            <w:tcW w:w="5942" w:type="dxa"/>
            <w:vAlign w:val="center"/>
          </w:tcPr>
          <w:p w14:paraId="31B918C4">
            <w:pPr>
              <w:adjustRightInd w:val="0"/>
              <w:snapToGrid w:val="0"/>
              <w:rPr>
                <w:rFonts w:eastAsia="仿宋_GB2312"/>
                <w:color w:val="000000"/>
                <w:sz w:val="32"/>
                <w:szCs w:val="32"/>
              </w:rPr>
            </w:pPr>
          </w:p>
        </w:tc>
      </w:tr>
      <w:tr w14:paraId="63A94DB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tcBorders>
              <w:bottom w:val="double" w:color="auto" w:sz="4" w:space="0"/>
            </w:tcBorders>
            <w:vAlign w:val="center"/>
          </w:tcPr>
          <w:p w14:paraId="54BA6A26">
            <w:pPr>
              <w:jc w:val="center"/>
              <w:rPr>
                <w:rFonts w:eastAsia="仿宋_GB2312"/>
                <w:color w:val="000000"/>
                <w:sz w:val="32"/>
                <w:szCs w:val="32"/>
              </w:rPr>
            </w:pPr>
          </w:p>
        </w:tc>
        <w:tc>
          <w:tcPr>
            <w:tcW w:w="2275" w:type="dxa"/>
            <w:tcBorders>
              <w:bottom w:val="double" w:color="auto" w:sz="4" w:space="0"/>
            </w:tcBorders>
            <w:vAlign w:val="center"/>
          </w:tcPr>
          <w:p w14:paraId="2D98BE83">
            <w:pPr>
              <w:jc w:val="center"/>
              <w:rPr>
                <w:rFonts w:eastAsia="仿宋_GB2312"/>
                <w:color w:val="000000"/>
                <w:sz w:val="32"/>
                <w:szCs w:val="32"/>
              </w:rPr>
            </w:pPr>
          </w:p>
        </w:tc>
        <w:tc>
          <w:tcPr>
            <w:tcW w:w="5942" w:type="dxa"/>
            <w:tcBorders>
              <w:bottom w:val="double" w:color="auto" w:sz="4" w:space="0"/>
            </w:tcBorders>
            <w:vAlign w:val="center"/>
          </w:tcPr>
          <w:p w14:paraId="1FEEABE9">
            <w:pPr>
              <w:adjustRightInd w:val="0"/>
              <w:snapToGrid w:val="0"/>
              <w:rPr>
                <w:rFonts w:eastAsia="仿宋_GB2312"/>
                <w:color w:val="000000"/>
                <w:sz w:val="32"/>
                <w:szCs w:val="32"/>
              </w:rPr>
            </w:pPr>
          </w:p>
        </w:tc>
      </w:tr>
    </w:tbl>
    <w:p w14:paraId="7A4B506D">
      <w:pPr>
        <w:rPr>
          <w:rFonts w:eastAsia="仿宋_GB2312"/>
          <w:color w:val="000000"/>
          <w:sz w:val="32"/>
          <w:szCs w:val="32"/>
        </w:rPr>
      </w:pPr>
      <w:r>
        <w:rPr>
          <w:rFonts w:eastAsia="仿宋_GB2312"/>
          <w:color w:val="000000"/>
          <w:sz w:val="32"/>
          <w:szCs w:val="32"/>
        </w:rPr>
        <w:br w:type="page"/>
      </w:r>
    </w:p>
    <w:p w14:paraId="4A0CA1CC">
      <w:pPr>
        <w:pStyle w:val="22"/>
        <w:ind w:firstLine="0" w:firstLineChars="0"/>
        <w:jc w:val="left"/>
        <w:outlineLvl w:val="1"/>
        <w:rPr>
          <w:rFonts w:eastAsia="黑体"/>
          <w:color w:val="000000"/>
          <w:sz w:val="28"/>
          <w:szCs w:val="44"/>
        </w:rPr>
      </w:pPr>
      <w:bookmarkStart w:id="0" w:name="_Hlk524442005"/>
      <w:r>
        <w:rPr>
          <w:rFonts w:hint="eastAsia" w:eastAsia="黑体"/>
          <w:color w:val="000000"/>
          <w:sz w:val="28"/>
          <w:szCs w:val="44"/>
        </w:rPr>
        <w:t>附件</w:t>
      </w:r>
      <w:r>
        <w:rPr>
          <w:rFonts w:hint="eastAsia" w:eastAsia="黑体"/>
          <w:color w:val="000000"/>
          <w:sz w:val="28"/>
          <w:szCs w:val="44"/>
          <w:lang w:val="en-US" w:eastAsia="zh-CN"/>
        </w:rPr>
        <w:t>二</w:t>
      </w:r>
      <w:r>
        <w:rPr>
          <w:rFonts w:hint="eastAsia" w:eastAsia="黑体"/>
          <w:color w:val="000000"/>
          <w:sz w:val="28"/>
          <w:szCs w:val="44"/>
        </w:rPr>
        <w:t xml:space="preserve">  报价函</w:t>
      </w:r>
    </w:p>
    <w:p w14:paraId="431F6DC7">
      <w:pPr>
        <w:jc w:val="center"/>
        <w:rPr>
          <w:rFonts w:eastAsia="华文中宋"/>
          <w:color w:val="000000"/>
          <w:sz w:val="44"/>
          <w:szCs w:val="44"/>
        </w:rPr>
      </w:pPr>
      <w:r>
        <w:rPr>
          <w:rFonts w:hint="eastAsia" w:eastAsia="华文中宋"/>
          <w:color w:val="000000"/>
          <w:sz w:val="44"/>
          <w:szCs w:val="44"/>
        </w:rPr>
        <w:t>报价函</w:t>
      </w:r>
    </w:p>
    <w:p w14:paraId="39D7ADEF">
      <w:pPr>
        <w:ind w:firstLine="560"/>
        <w:jc w:val="center"/>
        <w:rPr>
          <w:rFonts w:eastAsia="仿宋_GB2312"/>
          <w:color w:val="000000"/>
          <w:sz w:val="32"/>
          <w:szCs w:val="32"/>
        </w:rPr>
      </w:pPr>
    </w:p>
    <w:p w14:paraId="32DFD434">
      <w:pPr>
        <w:rPr>
          <w:rFonts w:eastAsia="仿宋_GB2312"/>
          <w:sz w:val="32"/>
          <w:szCs w:val="32"/>
        </w:rPr>
      </w:pPr>
      <w:r>
        <w:rPr>
          <w:rFonts w:hint="eastAsia" w:ascii="仿宋_GB2312" w:hAnsi="仿宋_GB2312" w:eastAsia="仿宋_GB2312" w:cs="仿宋_GB2312"/>
          <w:color w:val="000000"/>
          <w:sz w:val="32"/>
          <w:szCs w:val="32"/>
        </w:rPr>
        <w:t>东莞市新东欣环保投资有限公司</w:t>
      </w:r>
      <w:r>
        <w:rPr>
          <w:rFonts w:hint="eastAsia" w:eastAsia="仿宋_GB2312"/>
          <w:sz w:val="32"/>
          <w:szCs w:val="32"/>
        </w:rPr>
        <w:t>：</w:t>
      </w:r>
    </w:p>
    <w:p w14:paraId="3CD02723">
      <w:pPr>
        <w:ind w:firstLine="640" w:firstLineChars="200"/>
        <w:rPr>
          <w:rFonts w:eastAsia="仿宋_GB2312"/>
          <w:color w:val="000000"/>
          <w:sz w:val="32"/>
          <w:szCs w:val="32"/>
        </w:rPr>
      </w:pPr>
      <w:r>
        <w:rPr>
          <w:rFonts w:hint="eastAsia" w:eastAsia="仿宋_GB2312"/>
          <w:color w:val="000000"/>
          <w:sz w:val="32"/>
          <w:szCs w:val="32"/>
        </w:rPr>
        <w:t>针对贵司</w:t>
      </w:r>
      <w:r>
        <w:rPr>
          <w:rFonts w:eastAsia="仿宋_GB2312"/>
          <w:color w:val="000000"/>
          <w:sz w:val="32"/>
          <w:szCs w:val="32"/>
          <w:u w:val="single"/>
        </w:rPr>
        <w:t xml:space="preserve"> </w:t>
      </w:r>
      <w:r>
        <w:rPr>
          <w:rFonts w:hint="eastAsia" w:eastAsia="仿宋_GB2312"/>
          <w:b/>
          <w:bCs/>
          <w:color w:val="000000"/>
          <w:sz w:val="32"/>
          <w:szCs w:val="32"/>
          <w:u w:val="single"/>
        </w:rPr>
        <w:t>东莞市新东欣环保投资有限公司废水车间蒸发器清洗服务项目</w:t>
      </w:r>
      <w:r>
        <w:rPr>
          <w:rFonts w:hint="eastAsia" w:eastAsia="仿宋_GB2312"/>
          <w:color w:val="000000"/>
          <w:sz w:val="32"/>
          <w:szCs w:val="32"/>
        </w:rPr>
        <w:t>，我司愿意以</w:t>
      </w:r>
      <w:r>
        <w:rPr>
          <w:rFonts w:hint="eastAsia" w:eastAsia="仿宋_GB2312"/>
          <w:color w:val="000000"/>
          <w:sz w:val="32"/>
          <w:szCs w:val="32"/>
          <w:lang w:val="en-US" w:eastAsia="zh-CN"/>
        </w:rPr>
        <w:t>暂定</w:t>
      </w:r>
      <w:r>
        <w:rPr>
          <w:rFonts w:hint="eastAsia" w:eastAsia="仿宋_GB2312"/>
          <w:color w:val="000000"/>
          <w:sz w:val="32"/>
          <w:szCs w:val="32"/>
        </w:rPr>
        <w:t>含税价合计人民币</w:t>
      </w:r>
      <w:r>
        <w:rPr>
          <w:rFonts w:eastAsia="仿宋_GB2312"/>
          <w:color w:val="000000"/>
          <w:sz w:val="32"/>
          <w:szCs w:val="32"/>
          <w:u w:val="single"/>
        </w:rPr>
        <w:t>xxxx</w:t>
      </w:r>
      <w:r>
        <w:rPr>
          <w:rFonts w:hint="eastAsia" w:eastAsia="仿宋_GB2312"/>
          <w:color w:val="000000"/>
          <w:sz w:val="32"/>
          <w:szCs w:val="32"/>
          <w:u w:val="single"/>
        </w:rPr>
        <w:t>元（大写），</w:t>
      </w:r>
      <w:r>
        <w:rPr>
          <w:rFonts w:eastAsia="仿宋_GB2312"/>
          <w:color w:val="000000"/>
          <w:sz w:val="32"/>
          <w:szCs w:val="32"/>
          <w:u w:val="single"/>
        </w:rPr>
        <w:t>¥xxx.00</w:t>
      </w:r>
      <w:r>
        <w:rPr>
          <w:rFonts w:hint="eastAsia" w:eastAsia="仿宋_GB2312"/>
          <w:color w:val="000000"/>
          <w:sz w:val="32"/>
          <w:szCs w:val="32"/>
          <w:u w:val="single"/>
        </w:rPr>
        <w:t>（小写）（</w:t>
      </w:r>
      <w:r>
        <w:rPr>
          <w:rFonts w:hint="eastAsia" w:eastAsia="仿宋_GB2312"/>
          <w:color w:val="000000"/>
          <w:sz w:val="32"/>
          <w:szCs w:val="32"/>
        </w:rPr>
        <w:t>开具增值税专用发票，税率</w:t>
      </w:r>
      <w:r>
        <w:rPr>
          <w:rFonts w:hint="eastAsia" w:eastAsia="仿宋_GB2312"/>
          <w:color w:val="000000"/>
          <w:sz w:val="32"/>
          <w:szCs w:val="32"/>
          <w:u w:val="single"/>
        </w:rPr>
        <w:t xml:space="preserve">  %）</w:t>
      </w:r>
      <w:r>
        <w:rPr>
          <w:rFonts w:hint="eastAsia" w:eastAsia="仿宋_GB2312"/>
          <w:color w:val="000000"/>
          <w:sz w:val="32"/>
          <w:szCs w:val="32"/>
        </w:rPr>
        <w:t>承接此项目</w:t>
      </w:r>
      <w:r>
        <w:rPr>
          <w:rFonts w:hint="eastAsia" w:eastAsia="仿宋_GB2312"/>
          <w:color w:val="000000"/>
          <w:sz w:val="32"/>
          <w:szCs w:val="32"/>
          <w:lang w:eastAsia="zh-CN"/>
        </w:rPr>
        <w:t>，</w:t>
      </w:r>
      <w:r>
        <w:rPr>
          <w:rFonts w:hint="eastAsia" w:eastAsia="仿宋_GB2312"/>
          <w:color w:val="000000"/>
          <w:sz w:val="32"/>
          <w:szCs w:val="32"/>
          <w:lang w:val="en-US" w:eastAsia="zh-CN"/>
        </w:rPr>
        <w:t>详见报价清单</w:t>
      </w:r>
      <w:r>
        <w:rPr>
          <w:rFonts w:hint="eastAsia" w:eastAsia="仿宋_GB2312"/>
          <w:color w:val="000000"/>
          <w:sz w:val="32"/>
          <w:szCs w:val="32"/>
        </w:rPr>
        <w:t>。</w:t>
      </w:r>
    </w:p>
    <w:p w14:paraId="25CF6161">
      <w:pPr>
        <w:rPr>
          <w:rFonts w:eastAsia="仿宋_GB2312"/>
          <w:color w:val="000000"/>
          <w:sz w:val="32"/>
          <w:szCs w:val="32"/>
        </w:rPr>
      </w:pPr>
    </w:p>
    <w:p w14:paraId="189634FB">
      <w:pPr>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附件：报价清单</w:t>
      </w:r>
    </w:p>
    <w:p w14:paraId="1B05F096">
      <w:pPr>
        <w:rPr>
          <w:rFonts w:eastAsia="仿宋_GB2312"/>
          <w:color w:val="000000"/>
          <w:sz w:val="32"/>
          <w:szCs w:val="32"/>
        </w:rPr>
      </w:pPr>
    </w:p>
    <w:p w14:paraId="53FF0F96">
      <w:pPr>
        <w:jc w:val="left"/>
        <w:rPr>
          <w:rFonts w:eastAsia="仿宋_GB2312"/>
          <w:color w:val="000000"/>
          <w:sz w:val="32"/>
          <w:szCs w:val="32"/>
        </w:rPr>
      </w:pPr>
      <w:r>
        <w:rPr>
          <w:rFonts w:hint="eastAsia" w:eastAsia="仿宋_GB2312"/>
          <w:color w:val="000000"/>
          <w:sz w:val="32"/>
          <w:szCs w:val="32"/>
        </w:rPr>
        <w:t>响应人名称（加盖公章）：</w:t>
      </w:r>
    </w:p>
    <w:p w14:paraId="0E62E42A">
      <w:pPr>
        <w:jc w:val="left"/>
        <w:rPr>
          <w:rFonts w:eastAsia="仿宋_GB2312"/>
          <w:color w:val="000000"/>
          <w:sz w:val="32"/>
          <w:szCs w:val="32"/>
        </w:rPr>
      </w:pPr>
      <w:r>
        <w:rPr>
          <w:rFonts w:hint="eastAsia" w:eastAsia="仿宋_GB2312"/>
          <w:color w:val="000000"/>
          <w:sz w:val="32"/>
          <w:szCs w:val="32"/>
        </w:rPr>
        <w:t>法定代表人（签名或盖章）：</w:t>
      </w:r>
    </w:p>
    <w:p w14:paraId="3FE97715">
      <w:pPr>
        <w:jc w:val="left"/>
        <w:rPr>
          <w:rFonts w:eastAsia="仿宋_GB2312"/>
          <w:color w:val="000000"/>
          <w:sz w:val="32"/>
          <w:szCs w:val="32"/>
        </w:rPr>
      </w:pPr>
      <w:r>
        <w:rPr>
          <w:rFonts w:hint="eastAsia" w:eastAsia="仿宋_GB2312"/>
          <w:color w:val="000000"/>
          <w:sz w:val="32"/>
          <w:szCs w:val="32"/>
        </w:rPr>
        <w:t>联系人：</w:t>
      </w:r>
    </w:p>
    <w:p w14:paraId="70CB9F2F">
      <w:pPr>
        <w:jc w:val="left"/>
        <w:rPr>
          <w:rFonts w:eastAsia="仿宋_GB2312"/>
          <w:color w:val="000000"/>
          <w:sz w:val="32"/>
          <w:szCs w:val="32"/>
        </w:rPr>
      </w:pPr>
      <w:r>
        <w:rPr>
          <w:rFonts w:hint="eastAsia" w:eastAsia="仿宋_GB2312"/>
          <w:color w:val="000000"/>
          <w:sz w:val="32"/>
          <w:szCs w:val="32"/>
        </w:rPr>
        <w:t>联系电话：</w:t>
      </w:r>
    </w:p>
    <w:p w14:paraId="12D8FD0F">
      <w:pPr>
        <w:jc w:val="left"/>
        <w:rPr>
          <w:rFonts w:eastAsia="仿宋_GB2312"/>
          <w:color w:val="000000"/>
          <w:sz w:val="32"/>
          <w:szCs w:val="32"/>
        </w:rPr>
      </w:pPr>
      <w:r>
        <w:rPr>
          <w:rFonts w:hint="eastAsia" w:eastAsia="仿宋_GB2312"/>
          <w:color w:val="000000"/>
          <w:sz w:val="32"/>
          <w:szCs w:val="32"/>
        </w:rPr>
        <w:t>日期：</w:t>
      </w:r>
    </w:p>
    <w:p w14:paraId="0E728158">
      <w:pPr>
        <w:rPr>
          <w:rFonts w:hint="eastAsia" w:ascii="Times New Roman" w:hAnsi="Times New Roman" w:eastAsia="黑体" w:cs="Times New Roman"/>
          <w:color w:val="000000"/>
          <w:kern w:val="2"/>
          <w:sz w:val="28"/>
          <w:szCs w:val="44"/>
          <w:lang w:val="en-US" w:eastAsia="zh-CN" w:bidi="ar-SA"/>
        </w:rPr>
      </w:pPr>
      <w:r>
        <w:rPr>
          <w:rFonts w:eastAsia="仿宋_GB2312"/>
          <w:color w:val="000000"/>
          <w:sz w:val="32"/>
          <w:szCs w:val="32"/>
        </w:rPr>
        <w:br w:type="page"/>
      </w:r>
      <w:r>
        <w:rPr>
          <w:rFonts w:hint="eastAsia" w:ascii="Times New Roman" w:hAnsi="Times New Roman" w:eastAsia="黑体" w:cs="Times New Roman"/>
          <w:color w:val="000000"/>
          <w:kern w:val="2"/>
          <w:sz w:val="28"/>
          <w:szCs w:val="44"/>
          <w:lang w:val="en-US" w:eastAsia="zh-CN" w:bidi="ar-SA"/>
        </w:rPr>
        <w:t>报价清单</w:t>
      </w:r>
    </w:p>
    <w:tbl>
      <w:tblPr>
        <w:tblStyle w:val="14"/>
        <w:tblW w:w="94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55"/>
        <w:gridCol w:w="915"/>
        <w:gridCol w:w="645"/>
        <w:gridCol w:w="1616"/>
        <w:gridCol w:w="1011"/>
        <w:gridCol w:w="1680"/>
        <w:gridCol w:w="1529"/>
        <w:gridCol w:w="1529"/>
      </w:tblGrid>
      <w:tr w14:paraId="21B712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9480"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AC69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报价清单</w:t>
            </w:r>
          </w:p>
        </w:tc>
      </w:tr>
      <w:tr w14:paraId="369A2D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66A5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项目名称：东莞市新东欣环保投资有限公司废水车间蒸发器清洗服务项目</w:t>
            </w:r>
          </w:p>
        </w:tc>
      </w:tr>
      <w:tr w14:paraId="763F83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C88C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报价单位：（盖章）</w:t>
            </w:r>
          </w:p>
        </w:tc>
      </w:tr>
      <w:tr w14:paraId="342D1D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531C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F8319">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作业</w:t>
            </w:r>
          </w:p>
          <w:p w14:paraId="62D38AC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位置</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1CBA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F738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内容</w:t>
            </w:r>
            <w:r>
              <w:rPr>
                <w:rFonts w:hint="default" w:ascii="Times New Roman" w:hAnsi="Times New Roman" w:eastAsia="宋体" w:cs="Times New Roman"/>
                <w:b/>
                <w:bCs/>
                <w:i w:val="0"/>
                <w:iCs w:val="0"/>
                <w:color w:val="000000"/>
                <w:kern w:val="0"/>
                <w:sz w:val="20"/>
                <w:szCs w:val="20"/>
                <w:u w:val="none"/>
                <w:lang w:val="en-US" w:eastAsia="zh-CN" w:bidi="ar"/>
              </w:rPr>
              <w:t>/</w:t>
            </w:r>
            <w:r>
              <w:rPr>
                <w:rFonts w:hint="eastAsia" w:ascii="宋体" w:hAnsi="宋体" w:eastAsia="宋体" w:cs="宋体"/>
                <w:b/>
                <w:bCs/>
                <w:i w:val="0"/>
                <w:iCs w:val="0"/>
                <w:color w:val="000000"/>
                <w:kern w:val="0"/>
                <w:sz w:val="20"/>
                <w:szCs w:val="20"/>
                <w:u w:val="none"/>
                <w:lang w:val="en-US" w:eastAsia="zh-CN" w:bidi="ar"/>
              </w:rPr>
              <w:t>范围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2B224">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作业</w:t>
            </w:r>
          </w:p>
          <w:p w14:paraId="3E3C4F4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内容</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C29A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单价限价</w:t>
            </w:r>
            <w:r>
              <w:rPr>
                <w:rFonts w:hint="eastAsia" w:ascii="宋体" w:hAnsi="宋体" w:eastAsia="宋体" w:cs="宋体"/>
                <w:b/>
                <w:bCs/>
                <w:i w:val="0"/>
                <w:iCs w:val="0"/>
                <w:color w:val="000000"/>
                <w:kern w:val="0"/>
                <w:sz w:val="20"/>
                <w:szCs w:val="20"/>
                <w:u w:val="none"/>
                <w:lang w:val="en-US" w:eastAsia="zh-CN" w:bidi="ar"/>
              </w:rPr>
              <w:br w:type="textWrapping"/>
            </w:r>
            <w:r>
              <w:rPr>
                <w:rFonts w:hint="eastAsia" w:ascii="宋体" w:hAnsi="宋体" w:eastAsia="宋体" w:cs="宋体"/>
                <w:b/>
                <w:bCs/>
                <w:i w:val="0"/>
                <w:iCs w:val="0"/>
                <w:color w:val="000000"/>
                <w:kern w:val="0"/>
                <w:sz w:val="20"/>
                <w:szCs w:val="20"/>
                <w:u w:val="none"/>
                <w:lang w:val="en-US" w:eastAsia="zh-CN" w:bidi="ar"/>
              </w:rPr>
              <w:t>（含税，元/台）</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BCA3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单价报价</w:t>
            </w:r>
            <w:r>
              <w:rPr>
                <w:rFonts w:hint="eastAsia" w:ascii="宋体" w:hAnsi="宋体" w:eastAsia="宋体" w:cs="宋体"/>
                <w:b/>
                <w:bCs/>
                <w:i w:val="0"/>
                <w:iCs w:val="0"/>
                <w:color w:val="000000"/>
                <w:kern w:val="0"/>
                <w:sz w:val="20"/>
                <w:szCs w:val="20"/>
                <w:u w:val="none"/>
                <w:lang w:val="en-US" w:eastAsia="zh-CN" w:bidi="ar"/>
              </w:rPr>
              <w:br w:type="textWrapping"/>
            </w:r>
            <w:r>
              <w:rPr>
                <w:rFonts w:hint="eastAsia" w:ascii="宋体" w:hAnsi="宋体" w:eastAsia="宋体" w:cs="宋体"/>
                <w:b/>
                <w:bCs/>
                <w:i w:val="0"/>
                <w:iCs w:val="0"/>
                <w:color w:val="000000"/>
                <w:kern w:val="0"/>
                <w:sz w:val="20"/>
                <w:szCs w:val="20"/>
                <w:u w:val="none"/>
                <w:lang w:val="en-US" w:eastAsia="zh-CN" w:bidi="ar"/>
              </w:rPr>
              <w:t>（含税，元/台）</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463F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小计</w:t>
            </w:r>
            <w:r>
              <w:rPr>
                <w:rFonts w:hint="eastAsia" w:ascii="宋体" w:hAnsi="宋体" w:eastAsia="宋体" w:cs="宋体"/>
                <w:b/>
                <w:bCs/>
                <w:i w:val="0"/>
                <w:iCs w:val="0"/>
                <w:color w:val="000000"/>
                <w:kern w:val="0"/>
                <w:sz w:val="20"/>
                <w:szCs w:val="20"/>
                <w:u w:val="none"/>
                <w:lang w:val="en-US" w:eastAsia="zh-CN" w:bidi="ar"/>
              </w:rPr>
              <w:br w:type="textWrapping"/>
            </w:r>
            <w:r>
              <w:rPr>
                <w:rFonts w:hint="eastAsia" w:ascii="宋体" w:hAnsi="宋体" w:eastAsia="宋体" w:cs="宋体"/>
                <w:b/>
                <w:bCs/>
                <w:i w:val="0"/>
                <w:iCs w:val="0"/>
                <w:color w:val="000000"/>
                <w:kern w:val="0"/>
                <w:sz w:val="20"/>
                <w:szCs w:val="20"/>
                <w:u w:val="none"/>
                <w:lang w:val="en-US" w:eastAsia="zh-CN" w:bidi="ar"/>
              </w:rPr>
              <w:t>（含税，元）</w:t>
            </w:r>
          </w:p>
        </w:tc>
      </w:tr>
      <w:tr w14:paraId="2E3DCC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5"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BAB69">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0FE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加热器</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BEE92">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9</w:t>
            </w:r>
            <w:r>
              <w:rPr>
                <w:rFonts w:hint="eastAsia" w:ascii="宋体" w:hAnsi="宋体" w:eastAsia="宋体" w:cs="宋体"/>
                <w:i w:val="0"/>
                <w:iCs w:val="0"/>
                <w:color w:val="000000"/>
                <w:kern w:val="0"/>
                <w:sz w:val="20"/>
                <w:szCs w:val="20"/>
                <w:u w:val="none"/>
                <w:lang w:val="en-US" w:eastAsia="zh-CN" w:bidi="ar"/>
              </w:rPr>
              <w:t>台</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9AC3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单个加热器</w:t>
            </w:r>
            <w:r>
              <w:rPr>
                <w:rFonts w:hint="default" w:ascii="Times New Roman" w:hAnsi="Times New Roman" w:eastAsia="宋体" w:cs="Times New Roman"/>
                <w:i w:val="0"/>
                <w:iCs w:val="0"/>
                <w:color w:val="000000"/>
                <w:kern w:val="0"/>
                <w:sz w:val="20"/>
                <w:szCs w:val="20"/>
                <w:u w:val="none"/>
                <w:lang w:val="en-US" w:eastAsia="zh-CN" w:bidi="ar"/>
              </w:rPr>
              <w:t>415</w:t>
            </w:r>
            <w:r>
              <w:rPr>
                <w:rFonts w:hint="eastAsia" w:ascii="宋体" w:hAnsi="宋体" w:eastAsia="宋体" w:cs="宋体"/>
                <w:i w:val="0"/>
                <w:iCs w:val="0"/>
                <w:color w:val="000000"/>
                <w:kern w:val="0"/>
                <w:sz w:val="20"/>
                <w:szCs w:val="20"/>
                <w:u w:val="none"/>
                <w:lang w:val="en-US" w:eastAsia="zh-CN" w:bidi="ar"/>
              </w:rPr>
              <w:t>根列管，直径</w:t>
            </w:r>
            <w:r>
              <w:rPr>
                <w:rFonts w:hint="default" w:ascii="Times New Roman" w:hAnsi="Times New Roman" w:eastAsia="宋体" w:cs="Times New Roman"/>
                <w:i w:val="0"/>
                <w:iCs w:val="0"/>
                <w:color w:val="000000"/>
                <w:kern w:val="0"/>
                <w:sz w:val="20"/>
                <w:szCs w:val="20"/>
                <w:u w:val="none"/>
                <w:lang w:val="en-US" w:eastAsia="zh-CN" w:bidi="ar"/>
              </w:rPr>
              <w:t>32mm</w:t>
            </w:r>
            <w:r>
              <w:rPr>
                <w:rFonts w:hint="eastAsia" w:ascii="宋体" w:hAnsi="宋体" w:eastAsia="宋体" w:cs="宋体"/>
                <w:i w:val="0"/>
                <w:iCs w:val="0"/>
                <w:color w:val="000000"/>
                <w:kern w:val="0"/>
                <w:sz w:val="20"/>
                <w:szCs w:val="20"/>
                <w:u w:val="none"/>
                <w:lang w:val="en-US" w:eastAsia="zh-CN" w:bidi="ar"/>
              </w:rPr>
              <w:t>，长度</w:t>
            </w:r>
            <w:r>
              <w:rPr>
                <w:rFonts w:hint="default" w:ascii="Times New Roman" w:hAnsi="Times New Roman" w:eastAsia="宋体" w:cs="Times New Roman"/>
                <w:i w:val="0"/>
                <w:iCs w:val="0"/>
                <w:color w:val="000000"/>
                <w:kern w:val="0"/>
                <w:sz w:val="20"/>
                <w:szCs w:val="20"/>
                <w:u w:val="none"/>
                <w:lang w:val="en-US" w:eastAsia="zh-CN" w:bidi="ar"/>
              </w:rPr>
              <w:t>6m</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6C9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通堵</w:t>
            </w:r>
            <w:r>
              <w:rPr>
                <w:rFonts w:hint="default" w:ascii="Times New Roman" w:hAnsi="Times New Roman" w:eastAsia="宋体" w:cs="Times New Roman"/>
                <w:i w:val="0"/>
                <w:iCs w:val="0"/>
                <w:color w:val="000000"/>
                <w:kern w:val="0"/>
                <w:sz w:val="20"/>
                <w:szCs w:val="20"/>
                <w:u w:val="none"/>
                <w:lang w:val="en-US" w:eastAsia="zh-CN" w:bidi="ar"/>
              </w:rPr>
              <w:t>&amp;</w:t>
            </w:r>
            <w:r>
              <w:rPr>
                <w:rFonts w:hint="eastAsia" w:ascii="宋体" w:hAnsi="宋体" w:eastAsia="宋体" w:cs="宋体"/>
                <w:i w:val="0"/>
                <w:iCs w:val="0"/>
                <w:color w:val="000000"/>
                <w:kern w:val="0"/>
                <w:sz w:val="20"/>
                <w:szCs w:val="20"/>
                <w:u w:val="none"/>
                <w:lang w:val="en-US" w:eastAsia="zh-CN" w:bidi="ar"/>
              </w:rPr>
              <w:t>清洗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452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￥23,667.00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B6262">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20298">
            <w:pPr>
              <w:rPr>
                <w:rFonts w:hint="eastAsia" w:ascii="宋体" w:hAnsi="宋体" w:eastAsia="宋体" w:cs="宋体"/>
                <w:i w:val="0"/>
                <w:iCs w:val="0"/>
                <w:color w:val="000000"/>
                <w:sz w:val="20"/>
                <w:szCs w:val="20"/>
                <w:u w:val="none"/>
              </w:rPr>
            </w:pPr>
          </w:p>
        </w:tc>
      </w:tr>
      <w:tr w14:paraId="033D19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jc w:val="center"/>
        </w:trPr>
        <w:tc>
          <w:tcPr>
            <w:tcW w:w="5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ADF92D">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592E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分离器</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DAA512">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9</w:t>
            </w:r>
            <w:r>
              <w:rPr>
                <w:rFonts w:hint="eastAsia" w:ascii="宋体" w:hAnsi="宋体" w:eastAsia="宋体" w:cs="宋体"/>
                <w:i w:val="0"/>
                <w:iCs w:val="0"/>
                <w:color w:val="000000"/>
                <w:kern w:val="0"/>
                <w:sz w:val="20"/>
                <w:szCs w:val="20"/>
                <w:u w:val="none"/>
                <w:lang w:val="en-US" w:eastAsia="zh-CN" w:bidi="ar"/>
              </w:rPr>
              <w:t>台</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F330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一效：Ø1400*6*5000mm</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FBC1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清洗</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536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￥1,333.00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FC17F">
            <w:pPr>
              <w:jc w:val="center"/>
              <w:rPr>
                <w:rFonts w:hint="eastAsia" w:ascii="宋体" w:hAnsi="宋体" w:eastAsia="宋体" w:cs="宋体"/>
                <w:i w:val="0"/>
                <w:iCs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B4DAE">
            <w:pPr>
              <w:jc w:val="center"/>
              <w:rPr>
                <w:rFonts w:hint="eastAsia" w:ascii="宋体" w:hAnsi="宋体" w:eastAsia="宋体" w:cs="宋体"/>
                <w:i w:val="0"/>
                <w:iCs w:val="0"/>
                <w:color w:val="000000"/>
                <w:sz w:val="20"/>
                <w:szCs w:val="20"/>
                <w:u w:val="none"/>
              </w:rPr>
            </w:pPr>
          </w:p>
        </w:tc>
      </w:tr>
      <w:tr w14:paraId="379A0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71558A">
            <w:pPr>
              <w:jc w:val="center"/>
              <w:rPr>
                <w:rFonts w:hint="default" w:ascii="Times New Roman" w:hAnsi="Times New Roman" w:eastAsia="宋体" w:cs="Times New Roman"/>
                <w:i w:val="0"/>
                <w:iCs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34C601">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90C318">
            <w:pPr>
              <w:jc w:val="center"/>
              <w:rPr>
                <w:rFonts w:hint="default" w:ascii="Times New Roman" w:hAnsi="Times New Roman" w:eastAsia="宋体" w:cs="Times New Roman"/>
                <w:i w:val="0"/>
                <w:iCs w:val="0"/>
                <w:color w:val="000000"/>
                <w:sz w:val="20"/>
                <w:szCs w:val="20"/>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A9B8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二效：Ø1800*6*5000mm</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1A00D4">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0F04E">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06384">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B8BF1">
            <w:pPr>
              <w:jc w:val="center"/>
              <w:rPr>
                <w:rFonts w:hint="eastAsia" w:ascii="宋体" w:hAnsi="宋体" w:eastAsia="宋体" w:cs="宋体"/>
                <w:i w:val="0"/>
                <w:iCs w:val="0"/>
                <w:color w:val="000000"/>
                <w:sz w:val="20"/>
                <w:szCs w:val="20"/>
                <w:u w:val="none"/>
              </w:rPr>
            </w:pPr>
          </w:p>
        </w:tc>
      </w:tr>
      <w:tr w14:paraId="660190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685CA9">
            <w:pPr>
              <w:jc w:val="center"/>
              <w:rPr>
                <w:rFonts w:hint="default" w:ascii="Times New Roman" w:hAnsi="Times New Roman" w:eastAsia="宋体" w:cs="Times New Roman"/>
                <w:i w:val="0"/>
                <w:iCs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F1740E">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1C124D">
            <w:pPr>
              <w:jc w:val="center"/>
              <w:rPr>
                <w:rFonts w:hint="default" w:ascii="Times New Roman" w:hAnsi="Times New Roman" w:eastAsia="宋体" w:cs="Times New Roman"/>
                <w:i w:val="0"/>
                <w:iCs w:val="0"/>
                <w:color w:val="000000"/>
                <w:sz w:val="20"/>
                <w:szCs w:val="20"/>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8E2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三效：Ø2200*8*5000mm</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821B6D">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2479E">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23CD0">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DEBF3">
            <w:pPr>
              <w:jc w:val="center"/>
              <w:rPr>
                <w:rFonts w:hint="eastAsia" w:ascii="宋体" w:hAnsi="宋体" w:eastAsia="宋体" w:cs="宋体"/>
                <w:i w:val="0"/>
                <w:iCs w:val="0"/>
                <w:color w:val="000000"/>
                <w:sz w:val="20"/>
                <w:szCs w:val="20"/>
                <w:u w:val="none"/>
              </w:rPr>
            </w:pPr>
          </w:p>
        </w:tc>
      </w:tr>
      <w:tr w14:paraId="08156E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5"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BE483">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514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预热器</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E87F3">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12</w:t>
            </w:r>
            <w:r>
              <w:rPr>
                <w:rFonts w:hint="eastAsia" w:ascii="宋体" w:hAnsi="宋体" w:eastAsia="宋体" w:cs="宋体"/>
                <w:i w:val="0"/>
                <w:iCs w:val="0"/>
                <w:color w:val="000000"/>
                <w:kern w:val="0"/>
                <w:sz w:val="20"/>
                <w:szCs w:val="20"/>
                <w:u w:val="none"/>
                <w:lang w:val="en-US" w:eastAsia="zh-CN" w:bidi="ar"/>
              </w:rPr>
              <w:t>台</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725E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单个预热器</w:t>
            </w:r>
            <w:r>
              <w:rPr>
                <w:rFonts w:hint="default" w:ascii="Times New Roman" w:hAnsi="Times New Roman" w:eastAsia="宋体" w:cs="Times New Roman"/>
                <w:i w:val="0"/>
                <w:iCs w:val="0"/>
                <w:color w:val="000000"/>
                <w:kern w:val="0"/>
                <w:sz w:val="20"/>
                <w:szCs w:val="20"/>
                <w:u w:val="none"/>
                <w:lang w:val="en-US" w:eastAsia="zh-CN" w:bidi="ar"/>
              </w:rPr>
              <w:t xml:space="preserve">85 </w:t>
            </w:r>
            <w:r>
              <w:rPr>
                <w:rFonts w:hint="eastAsia" w:ascii="宋体" w:hAnsi="宋体" w:eastAsia="宋体" w:cs="宋体"/>
                <w:i w:val="0"/>
                <w:iCs w:val="0"/>
                <w:color w:val="000000"/>
                <w:kern w:val="0"/>
                <w:sz w:val="20"/>
                <w:szCs w:val="20"/>
                <w:u w:val="none"/>
                <w:lang w:val="en-US" w:eastAsia="zh-CN" w:bidi="ar"/>
              </w:rPr>
              <w:t>根列管，直径</w:t>
            </w:r>
            <w:r>
              <w:rPr>
                <w:rFonts w:hint="default" w:ascii="Times New Roman" w:hAnsi="Times New Roman" w:eastAsia="宋体" w:cs="Times New Roman"/>
                <w:i w:val="0"/>
                <w:iCs w:val="0"/>
                <w:color w:val="000000"/>
                <w:kern w:val="0"/>
                <w:sz w:val="20"/>
                <w:szCs w:val="20"/>
                <w:u w:val="none"/>
                <w:lang w:val="en-US" w:eastAsia="zh-CN" w:bidi="ar"/>
              </w:rPr>
              <w:t>32mm</w:t>
            </w:r>
            <w:r>
              <w:rPr>
                <w:rFonts w:hint="eastAsia" w:ascii="宋体" w:hAnsi="宋体" w:eastAsia="宋体" w:cs="宋体"/>
                <w:i w:val="0"/>
                <w:iCs w:val="0"/>
                <w:color w:val="000000"/>
                <w:kern w:val="0"/>
                <w:sz w:val="20"/>
                <w:szCs w:val="20"/>
                <w:u w:val="none"/>
                <w:lang w:val="en-US" w:eastAsia="zh-CN" w:bidi="ar"/>
              </w:rPr>
              <w:t>，长度</w:t>
            </w:r>
            <w:r>
              <w:rPr>
                <w:rFonts w:hint="default" w:ascii="Times New Roman" w:hAnsi="Times New Roman" w:eastAsia="宋体" w:cs="Times New Roman"/>
                <w:i w:val="0"/>
                <w:iCs w:val="0"/>
                <w:color w:val="000000"/>
                <w:kern w:val="0"/>
                <w:sz w:val="20"/>
                <w:szCs w:val="20"/>
                <w:u w:val="none"/>
                <w:lang w:val="en-US" w:eastAsia="zh-CN" w:bidi="ar"/>
              </w:rPr>
              <w:t>6m</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027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通堵</w:t>
            </w:r>
            <w:r>
              <w:rPr>
                <w:rFonts w:hint="default" w:ascii="Times New Roman" w:hAnsi="Times New Roman" w:eastAsia="宋体" w:cs="Times New Roman"/>
                <w:i w:val="0"/>
                <w:iCs w:val="0"/>
                <w:color w:val="000000"/>
                <w:kern w:val="0"/>
                <w:sz w:val="20"/>
                <w:szCs w:val="20"/>
                <w:u w:val="none"/>
                <w:lang w:val="en-US" w:eastAsia="zh-CN" w:bidi="ar"/>
              </w:rPr>
              <w:t>&amp;</w:t>
            </w:r>
            <w:r>
              <w:rPr>
                <w:rFonts w:hint="eastAsia" w:ascii="宋体" w:hAnsi="宋体" w:eastAsia="宋体" w:cs="宋体"/>
                <w:i w:val="0"/>
                <w:iCs w:val="0"/>
                <w:color w:val="000000"/>
                <w:kern w:val="0"/>
                <w:sz w:val="20"/>
                <w:szCs w:val="20"/>
                <w:u w:val="none"/>
                <w:lang w:val="en-US" w:eastAsia="zh-CN" w:bidi="ar"/>
              </w:rPr>
              <w:t>清洗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884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￥3,667.00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C05F1">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0532A">
            <w:pPr>
              <w:rPr>
                <w:rFonts w:hint="eastAsia" w:ascii="宋体" w:hAnsi="宋体" w:eastAsia="宋体" w:cs="宋体"/>
                <w:i w:val="0"/>
                <w:iCs w:val="0"/>
                <w:color w:val="000000"/>
                <w:sz w:val="20"/>
                <w:szCs w:val="20"/>
                <w:u w:val="none"/>
              </w:rPr>
            </w:pPr>
          </w:p>
        </w:tc>
      </w:tr>
      <w:tr w14:paraId="0BD37B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CCE1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增值税专用发票税率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488D0">
            <w:pPr>
              <w:jc w:val="center"/>
              <w:rPr>
                <w:rFonts w:hint="eastAsia" w:ascii="宋体" w:hAnsi="宋体" w:eastAsia="宋体" w:cs="宋体"/>
                <w:i w:val="0"/>
                <w:iCs w:val="0"/>
                <w:color w:val="000000"/>
                <w:sz w:val="20"/>
                <w:szCs w:val="20"/>
                <w:u w:val="none"/>
              </w:rPr>
            </w:pPr>
          </w:p>
        </w:tc>
      </w:tr>
      <w:tr w14:paraId="5FFBCB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0" w:type="auto"/>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2021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暂定含税合计（元）</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F82A4">
            <w:pPr>
              <w:jc w:val="center"/>
              <w:rPr>
                <w:rFonts w:hint="eastAsia" w:ascii="宋体" w:hAnsi="宋体" w:eastAsia="宋体" w:cs="宋体"/>
                <w:i w:val="0"/>
                <w:iCs w:val="0"/>
                <w:color w:val="000000"/>
                <w:sz w:val="20"/>
                <w:szCs w:val="20"/>
                <w:u w:val="none"/>
              </w:rPr>
            </w:pPr>
          </w:p>
        </w:tc>
      </w:tr>
      <w:tr w14:paraId="2D80FD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80" w:hRule="atLeast"/>
          <w:jc w:val="center"/>
        </w:trPr>
        <w:tc>
          <w:tcPr>
            <w:tcW w:w="948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680A8C7F">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备注：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1、本项目为固定单价包干，固定单价报价包括但不限于清洗对应设备所需的设备器具费、人工费、服务费、差旅费、保险费和税费等费用，最终结算时不做调整；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合同期为1年，自合同签订之日起，成交人根据采购人进场通知之日起约定时间内完成设备的清洗并通过验收，其中：加热器设备2个日历日，预热器设备1天，分离器设备1天；如设备堵塞严重的，经采购人确定且同意后可延长工期2天，但费用不做调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3、报价人在单价限价范围内进行报价，超过单价限价视为无效报价。</w:t>
            </w:r>
          </w:p>
        </w:tc>
      </w:tr>
    </w:tbl>
    <w:p w14:paraId="3E974F7F">
      <w:pPr>
        <w:rPr>
          <w:rFonts w:hint="eastAsia" w:eastAsia="仿宋_GB2312"/>
          <w:color w:val="000000"/>
          <w:sz w:val="32"/>
          <w:szCs w:val="32"/>
          <w:lang w:val="en-US" w:eastAsia="zh-CN"/>
        </w:rPr>
      </w:pPr>
    </w:p>
    <w:p w14:paraId="02426E5F">
      <w:pPr>
        <w:rPr>
          <w:rFonts w:eastAsia="仿宋_GB2312"/>
          <w:color w:val="000000"/>
          <w:sz w:val="32"/>
          <w:szCs w:val="32"/>
        </w:rPr>
      </w:pPr>
      <w:r>
        <w:rPr>
          <w:rFonts w:eastAsia="仿宋_GB2312"/>
          <w:color w:val="000000"/>
          <w:sz w:val="32"/>
          <w:szCs w:val="32"/>
        </w:rPr>
        <w:br w:type="page"/>
      </w:r>
    </w:p>
    <w:p w14:paraId="1900E376">
      <w:pPr>
        <w:pStyle w:val="2"/>
      </w:pPr>
    </w:p>
    <w:p w14:paraId="7B3FAFBB">
      <w:pPr>
        <w:rPr>
          <w:rFonts w:eastAsia="黑体"/>
          <w:color w:val="000000"/>
          <w:sz w:val="28"/>
          <w:szCs w:val="44"/>
        </w:rPr>
      </w:pPr>
      <w:r>
        <w:rPr>
          <w:rFonts w:hint="eastAsia" w:eastAsia="黑体"/>
          <w:color w:val="000000"/>
          <w:sz w:val="28"/>
          <w:szCs w:val="44"/>
        </w:rPr>
        <w:t>附件</w:t>
      </w:r>
      <w:r>
        <w:rPr>
          <w:rFonts w:hint="eastAsia" w:eastAsia="黑体"/>
          <w:color w:val="000000"/>
          <w:sz w:val="28"/>
          <w:szCs w:val="44"/>
          <w:lang w:val="en-US" w:eastAsia="zh-CN"/>
        </w:rPr>
        <w:t>三</w:t>
      </w:r>
      <w:r>
        <w:rPr>
          <w:rFonts w:hint="eastAsia" w:eastAsia="黑体"/>
          <w:color w:val="000000"/>
          <w:sz w:val="28"/>
          <w:szCs w:val="44"/>
        </w:rPr>
        <w:t xml:space="preserve">  法人证明</w:t>
      </w:r>
    </w:p>
    <w:p w14:paraId="17C8F5BD">
      <w:pPr>
        <w:pStyle w:val="22"/>
        <w:spacing w:line="540" w:lineRule="exact"/>
        <w:ind w:firstLine="0" w:firstLineChars="0"/>
        <w:jc w:val="left"/>
        <w:rPr>
          <w:rFonts w:eastAsia="黑体"/>
          <w:color w:val="000000"/>
          <w:sz w:val="28"/>
          <w:szCs w:val="44"/>
        </w:rPr>
      </w:pPr>
    </w:p>
    <w:p w14:paraId="0D635823">
      <w:pPr>
        <w:spacing w:line="540" w:lineRule="exact"/>
        <w:jc w:val="center"/>
        <w:rPr>
          <w:rFonts w:eastAsia="仿宋_GB2312"/>
          <w:b/>
          <w:bCs/>
          <w:color w:val="000000"/>
          <w:sz w:val="32"/>
          <w:szCs w:val="32"/>
        </w:rPr>
      </w:pPr>
      <w:r>
        <w:rPr>
          <w:rFonts w:hint="eastAsia" w:eastAsia="仿宋_GB2312"/>
          <w:b/>
          <w:bCs/>
          <w:color w:val="000000"/>
          <w:sz w:val="32"/>
          <w:szCs w:val="32"/>
        </w:rPr>
        <w:t>法定代表人身份证明书及法定代表人身份证复印件</w:t>
      </w:r>
    </w:p>
    <w:p w14:paraId="5B9C7D4B">
      <w:pPr>
        <w:spacing w:line="540" w:lineRule="exact"/>
        <w:rPr>
          <w:rFonts w:eastAsia="仿宋_GB2312"/>
          <w:color w:val="000000"/>
          <w:sz w:val="32"/>
          <w:szCs w:val="32"/>
        </w:rPr>
      </w:pPr>
    </w:p>
    <w:p w14:paraId="14784E3F">
      <w:pPr>
        <w:spacing w:line="540" w:lineRule="exact"/>
        <w:rPr>
          <w:rFonts w:eastAsia="仿宋_GB2312"/>
          <w:sz w:val="32"/>
          <w:szCs w:val="32"/>
        </w:rPr>
      </w:pPr>
      <w:r>
        <w:rPr>
          <w:rFonts w:hint="eastAsia" w:eastAsia="仿宋_GB2312"/>
          <w:sz w:val="32"/>
          <w:szCs w:val="32"/>
        </w:rPr>
        <w:t>东莞市新东欣环保投资有限公司：</w:t>
      </w:r>
    </w:p>
    <w:p w14:paraId="068378C4">
      <w:pPr>
        <w:pStyle w:val="23"/>
        <w:spacing w:line="540" w:lineRule="exact"/>
        <w:ind w:firstLine="659"/>
        <w:rPr>
          <w:rFonts w:ascii="Times New Roman" w:hAnsi="Times New Roman"/>
          <w:color w:val="000000"/>
          <w:sz w:val="32"/>
          <w:szCs w:val="32"/>
        </w:rPr>
      </w:pPr>
      <w:r>
        <w:rPr>
          <w:rFonts w:hint="eastAsia" w:ascii="Times New Roman" w:hAnsi="Times New Roman"/>
          <w:color w:val="000000"/>
          <w:sz w:val="32"/>
          <w:szCs w:val="32"/>
        </w:rPr>
        <w:t>本证明书声明：注册于（国家名称）的</w:t>
      </w:r>
      <w:r>
        <w:rPr>
          <w:rFonts w:hint="eastAsia" w:ascii="Times New Roman" w:hAnsi="Times New Roman"/>
          <w:color w:val="000000"/>
          <w:sz w:val="32"/>
          <w:szCs w:val="32"/>
          <w:u w:val="single"/>
        </w:rPr>
        <w:t>　　</w:t>
      </w:r>
      <w:r>
        <w:rPr>
          <w:rFonts w:hint="eastAsia" w:ascii="Times New Roman" w:hAnsi="Times New Roman"/>
          <w:color w:val="000000"/>
          <w:sz w:val="32"/>
          <w:szCs w:val="32"/>
        </w:rPr>
        <w:t>（响应人名称）在下面签字的</w:t>
      </w:r>
      <w:r>
        <w:rPr>
          <w:rFonts w:hint="eastAsia" w:ascii="Times New Roman" w:hAnsi="Times New Roman"/>
          <w:color w:val="000000"/>
          <w:sz w:val="32"/>
          <w:szCs w:val="32"/>
          <w:u w:val="single"/>
        </w:rPr>
        <w:t>　　　　　</w:t>
      </w:r>
      <w:r>
        <w:rPr>
          <w:rFonts w:hint="eastAsia" w:ascii="Times New Roman" w:hAnsi="Times New Roman"/>
          <w:color w:val="000000"/>
          <w:sz w:val="32"/>
          <w:szCs w:val="32"/>
        </w:rPr>
        <w:t>（法定代表人姓名、职务）为本公司的合法代表人（</w:t>
      </w:r>
      <w:r>
        <w:rPr>
          <w:rFonts w:hint="eastAsia" w:ascii="Times New Roman" w:hAnsi="Times New Roman"/>
          <w:b/>
          <w:bCs/>
          <w:color w:val="000000"/>
          <w:sz w:val="32"/>
          <w:szCs w:val="32"/>
        </w:rPr>
        <w:t>须附法定代表人身份证复印件</w:t>
      </w:r>
      <w:r>
        <w:rPr>
          <w:rFonts w:hint="eastAsia" w:ascii="Times New Roman" w:hAnsi="Times New Roman"/>
          <w:color w:val="000000"/>
          <w:sz w:val="32"/>
          <w:szCs w:val="32"/>
        </w:rPr>
        <w:t>）。</w:t>
      </w:r>
    </w:p>
    <w:p w14:paraId="78649A71">
      <w:pPr>
        <w:spacing w:line="540" w:lineRule="exact"/>
        <w:ind w:firstLine="480" w:firstLineChars="150"/>
        <w:rPr>
          <w:rFonts w:eastAsia="仿宋_GB2312"/>
          <w:color w:val="000000"/>
          <w:sz w:val="32"/>
          <w:szCs w:val="32"/>
        </w:rPr>
      </w:pPr>
      <w:r>
        <w:rPr>
          <w:rFonts w:hint="eastAsia" w:eastAsia="仿宋_GB2312"/>
          <w:color w:val="000000"/>
          <w:sz w:val="32"/>
          <w:szCs w:val="32"/>
        </w:rPr>
        <w:t>特此证明</w:t>
      </w:r>
    </w:p>
    <w:p w14:paraId="34FDDA74">
      <w:pPr>
        <w:spacing w:line="540" w:lineRule="exact"/>
        <w:rPr>
          <w:rFonts w:eastAsia="仿宋_GB2312"/>
          <w:color w:val="000000"/>
          <w:sz w:val="32"/>
          <w:szCs w:val="32"/>
        </w:rPr>
      </w:pPr>
    </w:p>
    <w:p w14:paraId="3071C288">
      <w:pPr>
        <w:spacing w:line="540" w:lineRule="exact"/>
        <w:jc w:val="left"/>
        <w:rPr>
          <w:rFonts w:eastAsia="仿宋_GB2312"/>
          <w:color w:val="000000"/>
          <w:sz w:val="32"/>
          <w:szCs w:val="32"/>
        </w:rPr>
      </w:pPr>
      <w:r>
        <w:rPr>
          <w:rFonts w:hint="eastAsia" w:eastAsia="仿宋_GB2312"/>
          <w:color w:val="000000"/>
          <w:sz w:val="32"/>
          <w:szCs w:val="32"/>
        </w:rPr>
        <w:t>响应人名称（加盖公章）：</w:t>
      </w:r>
    </w:p>
    <w:p w14:paraId="104A3214">
      <w:pPr>
        <w:spacing w:line="540" w:lineRule="exact"/>
        <w:jc w:val="left"/>
        <w:rPr>
          <w:rFonts w:eastAsia="仿宋_GB2312"/>
          <w:color w:val="000000"/>
          <w:sz w:val="32"/>
          <w:szCs w:val="32"/>
        </w:rPr>
      </w:pPr>
      <w:r>
        <w:rPr>
          <w:rFonts w:hint="eastAsia" w:eastAsia="仿宋_GB2312"/>
          <w:color w:val="000000"/>
          <w:sz w:val="32"/>
          <w:szCs w:val="32"/>
        </w:rPr>
        <w:t>响应人地址：</w:t>
      </w:r>
    </w:p>
    <w:p w14:paraId="321F1C6E">
      <w:pPr>
        <w:spacing w:line="540" w:lineRule="exact"/>
        <w:jc w:val="left"/>
        <w:rPr>
          <w:rFonts w:eastAsia="仿宋_GB2312"/>
          <w:color w:val="000000"/>
          <w:sz w:val="32"/>
          <w:szCs w:val="32"/>
        </w:rPr>
      </w:pPr>
      <w:r>
        <w:rPr>
          <w:rFonts w:hint="eastAsia" w:eastAsia="仿宋_GB2312"/>
          <w:color w:val="000000"/>
          <w:sz w:val="32"/>
          <w:szCs w:val="32"/>
        </w:rPr>
        <w:t>法定代表人（签名或盖私章）：</w:t>
      </w:r>
    </w:p>
    <w:p w14:paraId="78F0E6C1">
      <w:pPr>
        <w:spacing w:line="540" w:lineRule="exact"/>
        <w:jc w:val="left"/>
        <w:rPr>
          <w:rFonts w:eastAsia="仿宋_GB2312"/>
          <w:color w:val="000000"/>
          <w:sz w:val="32"/>
          <w:szCs w:val="32"/>
        </w:rPr>
      </w:pPr>
      <w:r>
        <w:rPr>
          <w:rFonts w:hint="eastAsia" w:eastAsia="仿宋_GB2312"/>
          <w:color w:val="000000"/>
          <w:sz w:val="32"/>
          <w:szCs w:val="32"/>
        </w:rPr>
        <w:t>职务：</w:t>
      </w:r>
    </w:p>
    <w:p w14:paraId="093B2433"/>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17"/>
      </w:tblGrid>
      <w:tr w14:paraId="3A96A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0" w:hRule="atLeast"/>
        </w:trPr>
        <w:tc>
          <w:tcPr>
            <w:tcW w:w="9017" w:type="dxa"/>
          </w:tcPr>
          <w:p w14:paraId="54FDE85C">
            <w:pPr>
              <w:widowControl/>
              <w:spacing w:line="360" w:lineRule="auto"/>
              <w:rPr>
                <w:rFonts w:ascii="仿宋" w:hAnsi="仿宋" w:eastAsia="仿宋"/>
                <w:sz w:val="28"/>
                <w:szCs w:val="28"/>
              </w:rPr>
            </w:pPr>
            <w:r>
              <w:rPr>
                <w:rFonts w:hint="eastAsia" w:ascii="仿宋" w:hAnsi="仿宋" w:eastAsia="仿宋"/>
                <w:b/>
                <w:bCs/>
                <w:sz w:val="28"/>
                <w:szCs w:val="28"/>
              </w:rPr>
              <w:t>（</w:t>
            </w:r>
            <w:r>
              <w:rPr>
                <w:rFonts w:ascii="仿宋" w:hAnsi="仿宋" w:eastAsia="仿宋"/>
                <w:b/>
                <w:bCs/>
                <w:sz w:val="28"/>
                <w:szCs w:val="28"/>
              </w:rPr>
              <w:t>法定代表人身份证复印件</w:t>
            </w:r>
            <w:r>
              <w:rPr>
                <w:rFonts w:hint="eastAsia" w:ascii="仿宋" w:hAnsi="仿宋" w:eastAsia="仿宋"/>
                <w:b/>
                <w:bCs/>
                <w:sz w:val="28"/>
                <w:szCs w:val="28"/>
              </w:rPr>
              <w:t>）</w:t>
            </w:r>
          </w:p>
        </w:tc>
      </w:tr>
    </w:tbl>
    <w:p w14:paraId="32E979D7">
      <w:pPr>
        <w:widowControl/>
        <w:jc w:val="center"/>
        <w:rPr>
          <w:rFonts w:eastAsia="仿宋_GB2312"/>
          <w:color w:val="000000"/>
          <w:sz w:val="32"/>
          <w:szCs w:val="32"/>
        </w:rPr>
      </w:pPr>
      <w:r>
        <w:rPr>
          <w:rFonts w:eastAsia="仿宋_GB2312"/>
          <w:color w:val="000000"/>
          <w:sz w:val="32"/>
          <w:szCs w:val="32"/>
        </w:rPr>
        <w:br w:type="page"/>
      </w:r>
      <w:bookmarkStart w:id="1" w:name="_Toc384752807"/>
    </w:p>
    <w:p w14:paraId="1A3A71C8">
      <w:pPr>
        <w:pStyle w:val="22"/>
        <w:ind w:firstLine="0" w:firstLineChars="0"/>
        <w:jc w:val="left"/>
        <w:outlineLvl w:val="1"/>
        <w:rPr>
          <w:rFonts w:eastAsia="黑体"/>
          <w:color w:val="000000"/>
          <w:sz w:val="28"/>
          <w:szCs w:val="44"/>
        </w:rPr>
      </w:pPr>
      <w:bookmarkStart w:id="2" w:name="_Hlk40704362"/>
      <w:r>
        <w:rPr>
          <w:rFonts w:hint="eastAsia" w:eastAsia="黑体"/>
          <w:color w:val="000000"/>
          <w:sz w:val="28"/>
          <w:szCs w:val="44"/>
        </w:rPr>
        <w:t>附件</w:t>
      </w:r>
      <w:r>
        <w:rPr>
          <w:rFonts w:hint="eastAsia" w:eastAsia="黑体"/>
          <w:color w:val="000000"/>
          <w:sz w:val="28"/>
          <w:szCs w:val="44"/>
          <w:lang w:val="en-US" w:eastAsia="zh-CN"/>
        </w:rPr>
        <w:t>四</w:t>
      </w:r>
      <w:r>
        <w:rPr>
          <w:rFonts w:hint="eastAsia" w:eastAsia="黑体"/>
          <w:color w:val="000000"/>
          <w:sz w:val="28"/>
          <w:szCs w:val="44"/>
        </w:rPr>
        <w:t xml:space="preserve">  法人授权书</w:t>
      </w:r>
    </w:p>
    <w:p w14:paraId="20B57644">
      <w:pPr>
        <w:widowControl/>
        <w:spacing w:line="500" w:lineRule="exact"/>
        <w:jc w:val="center"/>
        <w:rPr>
          <w:rFonts w:eastAsia="仿宋_GB2312"/>
          <w:b/>
          <w:color w:val="000000"/>
          <w:sz w:val="32"/>
          <w:szCs w:val="32"/>
        </w:rPr>
      </w:pPr>
    </w:p>
    <w:p w14:paraId="50B022B9">
      <w:pPr>
        <w:widowControl/>
        <w:spacing w:line="500" w:lineRule="exact"/>
        <w:jc w:val="center"/>
        <w:rPr>
          <w:rFonts w:eastAsia="仿宋_GB2312"/>
          <w:color w:val="000000"/>
          <w:sz w:val="32"/>
          <w:szCs w:val="32"/>
        </w:rPr>
      </w:pPr>
      <w:r>
        <w:rPr>
          <w:rFonts w:hint="eastAsia" w:eastAsia="仿宋_GB2312"/>
          <w:b/>
          <w:color w:val="000000"/>
          <w:sz w:val="32"/>
          <w:szCs w:val="32"/>
        </w:rPr>
        <w:t>授权委托书</w:t>
      </w:r>
      <w:bookmarkEnd w:id="1"/>
    </w:p>
    <w:p w14:paraId="4EBB99AF">
      <w:pPr>
        <w:pStyle w:val="23"/>
        <w:spacing w:line="500" w:lineRule="exact"/>
        <w:ind w:firstLine="0" w:firstLineChars="0"/>
        <w:rPr>
          <w:rFonts w:ascii="Times New Roman" w:hAnsi="Times New Roman"/>
          <w:color w:val="000000"/>
          <w:sz w:val="32"/>
          <w:szCs w:val="32"/>
        </w:rPr>
      </w:pPr>
    </w:p>
    <w:p w14:paraId="1A37E8FD">
      <w:pPr>
        <w:spacing w:line="500" w:lineRule="exact"/>
        <w:rPr>
          <w:rFonts w:eastAsia="仿宋_GB2312"/>
          <w:color w:val="000000"/>
          <w:sz w:val="32"/>
          <w:szCs w:val="32"/>
        </w:rPr>
      </w:pPr>
      <w:r>
        <w:rPr>
          <w:rFonts w:hint="eastAsia" w:eastAsia="仿宋_GB2312"/>
          <w:sz w:val="32"/>
          <w:szCs w:val="32"/>
        </w:rPr>
        <w:t>东莞市新东欣环保投资有限公司</w:t>
      </w:r>
      <w:r>
        <w:rPr>
          <w:rFonts w:hint="eastAsia" w:eastAsia="仿宋_GB2312"/>
          <w:color w:val="000000"/>
          <w:sz w:val="32"/>
          <w:szCs w:val="32"/>
        </w:rPr>
        <w:t>：</w:t>
      </w:r>
    </w:p>
    <w:p w14:paraId="176FC5DA">
      <w:pPr>
        <w:pStyle w:val="23"/>
        <w:keepNext w:val="0"/>
        <w:keepLines w:val="0"/>
        <w:pageBreakBefore w:val="0"/>
        <w:widowControl w:val="0"/>
        <w:kinsoku/>
        <w:wordWrap/>
        <w:overflowPunct/>
        <w:topLinePunct w:val="0"/>
        <w:autoSpaceDE/>
        <w:autoSpaceDN/>
        <w:bidi w:val="0"/>
        <w:adjustRightInd/>
        <w:snapToGrid/>
        <w:spacing w:line="560" w:lineRule="exact"/>
        <w:ind w:firstLine="659"/>
        <w:textAlignment w:val="auto"/>
        <w:rPr>
          <w:rFonts w:hint="eastAsia" w:ascii="仿宋_GB2312" w:hAnsi="仿宋_GB2312" w:eastAsia="仿宋_GB2312" w:cs="仿宋_GB2312"/>
          <w:color w:val="000000"/>
          <w:sz w:val="32"/>
          <w:szCs w:val="32"/>
        </w:rPr>
      </w:pPr>
      <w:r>
        <w:rPr>
          <w:rFonts w:hint="eastAsia" w:ascii="Times New Roman" w:hAnsi="Times New Roman"/>
          <w:color w:val="000000"/>
          <w:sz w:val="32"/>
          <w:szCs w:val="32"/>
        </w:rPr>
        <w:t>本委托书声明：在下面签字的</w:t>
      </w:r>
      <w:r>
        <w:rPr>
          <w:rFonts w:hint="eastAsia" w:ascii="Times New Roman" w:hAnsi="Times New Roman"/>
          <w:color w:val="000000"/>
          <w:sz w:val="32"/>
          <w:szCs w:val="32"/>
          <w:u w:val="single"/>
        </w:rPr>
        <w:t>（填写法定代表人姓名、职务）</w:t>
      </w:r>
      <w:r>
        <w:rPr>
          <w:rFonts w:hint="eastAsia" w:ascii="Times New Roman" w:hAnsi="Times New Roman"/>
          <w:color w:val="000000"/>
          <w:sz w:val="32"/>
          <w:szCs w:val="32"/>
        </w:rPr>
        <w:t>代表</w:t>
      </w:r>
      <w:r>
        <w:rPr>
          <w:rFonts w:hint="eastAsia" w:ascii="Times New Roman" w:hAnsi="Times New Roman"/>
          <w:color w:val="000000"/>
          <w:sz w:val="32"/>
          <w:szCs w:val="32"/>
          <w:u w:val="single"/>
        </w:rPr>
        <w:t>（填写响应人名称）</w:t>
      </w:r>
      <w:r>
        <w:rPr>
          <w:rFonts w:hint="eastAsia" w:ascii="Times New Roman" w:hAnsi="Times New Roman"/>
          <w:color w:val="000000"/>
          <w:sz w:val="32"/>
          <w:szCs w:val="32"/>
        </w:rPr>
        <w:t>委托在下面签字的</w:t>
      </w:r>
      <w:r>
        <w:rPr>
          <w:rFonts w:hint="eastAsia" w:ascii="Times New Roman" w:hAnsi="Times New Roman"/>
          <w:color w:val="000000"/>
          <w:sz w:val="32"/>
          <w:szCs w:val="32"/>
          <w:u w:val="single"/>
        </w:rPr>
        <w:t>（填写受委托人的姓名、职务）</w:t>
      </w:r>
      <w:r>
        <w:rPr>
          <w:rFonts w:hint="eastAsia" w:ascii="Times New Roman" w:hAnsi="Times New Roman"/>
          <w:color w:val="000000"/>
          <w:sz w:val="32"/>
          <w:szCs w:val="32"/>
        </w:rPr>
        <w:t>为本公</w:t>
      </w:r>
      <w:r>
        <w:rPr>
          <w:rFonts w:hint="eastAsia" w:ascii="仿宋_GB2312" w:hAnsi="仿宋_GB2312" w:eastAsia="仿宋_GB2312" w:cs="仿宋_GB2312"/>
          <w:color w:val="000000"/>
          <w:sz w:val="32"/>
          <w:szCs w:val="32"/>
        </w:rPr>
        <w:t>司的合法代表人，就</w:t>
      </w:r>
      <w:r>
        <w:rPr>
          <w:rFonts w:hint="eastAsia" w:ascii="仿宋_GB2312" w:hAnsi="仿宋_GB2312" w:eastAsia="仿宋_GB2312" w:cs="仿宋_GB2312"/>
          <w:color w:val="000000"/>
          <w:sz w:val="32"/>
          <w:szCs w:val="32"/>
          <w:u w:val="single"/>
        </w:rPr>
        <w:t>东莞市新东欣环保投资有限公司废水车间蒸发器清洗服务项目</w:t>
      </w:r>
      <w:r>
        <w:rPr>
          <w:rFonts w:hint="eastAsia" w:ascii="仿宋_GB2312" w:hAnsi="仿宋_GB2312" w:eastAsia="仿宋_GB2312" w:cs="仿宋_GB2312"/>
          <w:color w:val="000000"/>
          <w:sz w:val="32"/>
          <w:szCs w:val="32"/>
        </w:rPr>
        <w:t>等相关服务的谈判和合同的执行，以我方的名义处理一切与之有关的事宜（相关身份证复印件须附后）。</w:t>
      </w:r>
    </w:p>
    <w:p w14:paraId="5D89009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本委托书于</w:t>
      </w:r>
      <w:r>
        <w:rPr>
          <w:rFonts w:hint="eastAsia" w:ascii="仿宋_GB2312" w:hAnsi="仿宋_GB2312" w:eastAsia="仿宋_GB2312" w:cs="仿宋_GB2312"/>
          <w:sz w:val="32"/>
          <w:szCs w:val="32"/>
          <w:u w:val="single"/>
        </w:rPr>
        <w:t>　</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u w:val="single"/>
        </w:rPr>
        <w:t>　</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u w:val="single"/>
        </w:rPr>
        <w:t>　</w:t>
      </w:r>
      <w:r>
        <w:rPr>
          <w:rFonts w:hint="eastAsia" w:ascii="仿宋_GB2312" w:hAnsi="仿宋_GB2312" w:eastAsia="仿宋_GB2312" w:cs="仿宋_GB2312"/>
          <w:sz w:val="32"/>
          <w:szCs w:val="32"/>
        </w:rPr>
        <w:t>日至</w:t>
      </w:r>
      <w:r>
        <w:rPr>
          <w:rFonts w:hint="eastAsia" w:ascii="仿宋_GB2312" w:hAnsi="仿宋_GB2312" w:eastAsia="仿宋_GB2312" w:cs="仿宋_GB2312"/>
          <w:sz w:val="32"/>
          <w:szCs w:val="32"/>
          <w:u w:val="single"/>
        </w:rPr>
        <w:t>　</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u w:val="single"/>
        </w:rPr>
        <w:t>　</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u w:val="single"/>
        </w:rPr>
        <w:t>　</w:t>
      </w:r>
      <w:r>
        <w:rPr>
          <w:rFonts w:hint="eastAsia" w:ascii="仿宋_GB2312" w:hAnsi="仿宋_GB2312" w:eastAsia="仿宋_GB2312" w:cs="仿宋_GB2312"/>
          <w:sz w:val="32"/>
          <w:szCs w:val="32"/>
        </w:rPr>
        <w:t>日签</w:t>
      </w:r>
      <w:r>
        <w:rPr>
          <w:rFonts w:hint="eastAsia" w:ascii="仿宋_GB2312" w:hAnsi="仿宋_GB2312" w:eastAsia="仿宋_GB2312" w:cs="仿宋_GB2312"/>
          <w:color w:val="000000"/>
          <w:sz w:val="32"/>
          <w:szCs w:val="32"/>
        </w:rPr>
        <w:t>字生效，</w:t>
      </w:r>
      <w:r>
        <w:rPr>
          <w:rFonts w:hint="eastAsia" w:ascii="仿宋_GB2312" w:hAnsi="仿宋_GB2312" w:eastAsia="仿宋_GB2312" w:cs="仿宋_GB2312"/>
          <w:sz w:val="32"/>
          <w:szCs w:val="32"/>
        </w:rPr>
        <w:t>此声明。（有效期不得少于90个日历日）</w:t>
      </w:r>
    </w:p>
    <w:p w14:paraId="74414B16">
      <w:pPr>
        <w:pStyle w:val="23"/>
        <w:keepNext w:val="0"/>
        <w:keepLines w:val="0"/>
        <w:pageBreakBefore w:val="0"/>
        <w:widowControl w:val="0"/>
        <w:kinsoku/>
        <w:wordWrap/>
        <w:overflowPunct/>
        <w:topLinePunct w:val="0"/>
        <w:autoSpaceDE/>
        <w:autoSpaceDN/>
        <w:bidi w:val="0"/>
        <w:adjustRightInd/>
        <w:snapToGrid/>
        <w:spacing w:line="560" w:lineRule="exact"/>
        <w:ind w:firstLine="659"/>
        <w:textAlignment w:val="auto"/>
        <w:rPr>
          <w:rFonts w:hint="eastAsia" w:ascii="仿宋_GB2312" w:hAnsi="仿宋_GB2312" w:eastAsia="仿宋_GB2312" w:cs="仿宋_GB2312"/>
          <w:color w:val="000000"/>
          <w:sz w:val="32"/>
          <w:szCs w:val="32"/>
        </w:rPr>
      </w:pPr>
    </w:p>
    <w:p w14:paraId="0A4AAAF4">
      <w:pPr>
        <w:pStyle w:val="23"/>
        <w:adjustRightInd w:val="0"/>
        <w:spacing w:line="500" w:lineRule="exact"/>
        <w:ind w:firstLine="640" w:firstLineChars="200"/>
        <w:jc w:val="left"/>
        <w:rPr>
          <w:rFonts w:ascii="Times New Roman" w:hAnsi="Times New Roman"/>
          <w:color w:val="000000"/>
          <w:sz w:val="32"/>
          <w:szCs w:val="32"/>
        </w:rPr>
      </w:pPr>
      <w:r>
        <w:rPr>
          <w:rFonts w:hint="eastAsia" w:ascii="Times New Roman" w:hAnsi="Times New Roman"/>
          <w:color w:val="000000"/>
          <w:sz w:val="32"/>
          <w:szCs w:val="32"/>
        </w:rPr>
        <w:t>响应人名称（加盖公章）：</w:t>
      </w:r>
    </w:p>
    <w:p w14:paraId="38218D94">
      <w:pPr>
        <w:pStyle w:val="23"/>
        <w:adjustRightInd w:val="0"/>
        <w:spacing w:line="500" w:lineRule="exact"/>
        <w:ind w:firstLine="640" w:firstLineChars="200"/>
        <w:jc w:val="left"/>
        <w:rPr>
          <w:rFonts w:ascii="Times New Roman" w:hAnsi="Times New Roman"/>
          <w:color w:val="000000"/>
          <w:sz w:val="32"/>
          <w:szCs w:val="32"/>
        </w:rPr>
      </w:pPr>
      <w:r>
        <w:rPr>
          <w:rFonts w:hint="eastAsia" w:ascii="Times New Roman" w:hAnsi="Times New Roman"/>
          <w:color w:val="000000"/>
          <w:sz w:val="32"/>
          <w:szCs w:val="32"/>
        </w:rPr>
        <w:t>法定代表人（签字或盖章）：</w:t>
      </w:r>
    </w:p>
    <w:p w14:paraId="7DAB4CC4">
      <w:pPr>
        <w:pStyle w:val="23"/>
        <w:adjustRightInd w:val="0"/>
        <w:spacing w:line="500" w:lineRule="exact"/>
        <w:ind w:firstLine="640" w:firstLineChars="200"/>
        <w:jc w:val="left"/>
        <w:rPr>
          <w:rFonts w:ascii="Times New Roman" w:hAnsi="Times New Roman"/>
          <w:color w:val="000000"/>
          <w:sz w:val="32"/>
          <w:szCs w:val="32"/>
        </w:rPr>
      </w:pPr>
      <w:r>
        <w:rPr>
          <w:rFonts w:hint="eastAsia" w:ascii="Times New Roman" w:hAnsi="Times New Roman"/>
          <w:color w:val="000000"/>
          <w:sz w:val="32"/>
          <w:szCs w:val="32"/>
        </w:rPr>
        <w:t>职务：</w:t>
      </w:r>
    </w:p>
    <w:p w14:paraId="13A68CB0">
      <w:pPr>
        <w:pStyle w:val="23"/>
        <w:adjustRightInd w:val="0"/>
        <w:spacing w:line="500" w:lineRule="exact"/>
        <w:ind w:firstLine="640" w:firstLineChars="200"/>
        <w:jc w:val="left"/>
        <w:rPr>
          <w:rFonts w:ascii="Times New Roman" w:hAnsi="Times New Roman"/>
          <w:color w:val="000000"/>
          <w:sz w:val="32"/>
          <w:szCs w:val="32"/>
        </w:rPr>
      </w:pPr>
      <w:r>
        <w:rPr>
          <w:rFonts w:hint="eastAsia" w:ascii="Times New Roman" w:hAnsi="Times New Roman"/>
          <w:color w:val="000000"/>
          <w:sz w:val="32"/>
          <w:szCs w:val="32"/>
        </w:rPr>
        <w:t>受委托人（签字或盖章）：</w:t>
      </w:r>
    </w:p>
    <w:p w14:paraId="360CF207">
      <w:pPr>
        <w:pStyle w:val="23"/>
        <w:adjustRightInd w:val="0"/>
        <w:spacing w:line="500" w:lineRule="exact"/>
        <w:ind w:firstLine="640" w:firstLineChars="200"/>
        <w:jc w:val="left"/>
        <w:rPr>
          <w:rFonts w:ascii="Times New Roman" w:hAnsi="Times New Roman"/>
          <w:color w:val="000000"/>
          <w:sz w:val="32"/>
          <w:szCs w:val="32"/>
        </w:rPr>
      </w:pPr>
      <w:r>
        <w:rPr>
          <w:rFonts w:hint="eastAsia" w:ascii="Times New Roman" w:hAnsi="Times New Roman"/>
          <w:color w:val="000000"/>
          <w:sz w:val="32"/>
          <w:szCs w:val="32"/>
        </w:rPr>
        <w:t>职务：</w:t>
      </w:r>
    </w:p>
    <w:p w14:paraId="1F2D5B77">
      <w:pPr>
        <w:pStyle w:val="23"/>
        <w:adjustRightInd w:val="0"/>
        <w:spacing w:line="500" w:lineRule="exact"/>
        <w:ind w:firstLine="640" w:firstLineChars="200"/>
        <w:jc w:val="left"/>
        <w:rPr>
          <w:rFonts w:ascii="Times New Roman" w:hAnsi="Times New Roman"/>
          <w:color w:val="000000"/>
          <w:sz w:val="32"/>
          <w:szCs w:val="32"/>
        </w:rPr>
      </w:pPr>
      <w:r>
        <w:rPr>
          <w:rFonts w:hint="eastAsia" w:ascii="Times New Roman" w:hAnsi="Times New Roman"/>
          <w:color w:val="000000"/>
          <w:sz w:val="32"/>
          <w:szCs w:val="32"/>
        </w:rPr>
        <w:t>日期：</w:t>
      </w:r>
    </w:p>
    <w:p w14:paraId="0F0211B2">
      <w:pPr>
        <w:pStyle w:val="23"/>
        <w:spacing w:line="500" w:lineRule="exact"/>
        <w:ind w:firstLine="0" w:firstLineChars="0"/>
        <w:jc w:val="left"/>
        <w:rPr>
          <w:rFonts w:ascii="Times New Roman" w:hAnsi="Times New Roman"/>
          <w:color w:val="000000"/>
          <w:sz w:val="28"/>
          <w:szCs w:val="28"/>
        </w:rPr>
      </w:pP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17"/>
      </w:tblGrid>
      <w:tr w14:paraId="55414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3" w:hRule="atLeast"/>
        </w:trPr>
        <w:tc>
          <w:tcPr>
            <w:tcW w:w="5000" w:type="pct"/>
          </w:tcPr>
          <w:p w14:paraId="1F8EA94F">
            <w:pPr>
              <w:widowControl/>
              <w:spacing w:line="360" w:lineRule="auto"/>
              <w:rPr>
                <w:rFonts w:ascii="仿宋" w:hAnsi="仿宋" w:eastAsia="仿宋"/>
                <w:sz w:val="28"/>
                <w:szCs w:val="28"/>
              </w:rPr>
            </w:pPr>
            <w:r>
              <w:rPr>
                <w:rFonts w:hint="eastAsia" w:ascii="仿宋" w:hAnsi="仿宋" w:eastAsia="仿宋"/>
                <w:b/>
                <w:bCs/>
                <w:sz w:val="28"/>
                <w:szCs w:val="28"/>
              </w:rPr>
              <w:t>（</w:t>
            </w:r>
            <w:r>
              <w:rPr>
                <w:rFonts w:ascii="仿宋" w:hAnsi="仿宋" w:eastAsia="仿宋"/>
                <w:b/>
                <w:bCs/>
                <w:sz w:val="28"/>
                <w:szCs w:val="28"/>
              </w:rPr>
              <w:t>受委托人身份证复印件</w:t>
            </w:r>
            <w:r>
              <w:rPr>
                <w:rFonts w:hint="eastAsia" w:ascii="仿宋" w:hAnsi="仿宋" w:eastAsia="仿宋"/>
                <w:b/>
                <w:bCs/>
                <w:sz w:val="28"/>
                <w:szCs w:val="28"/>
              </w:rPr>
              <w:t>）</w:t>
            </w:r>
          </w:p>
        </w:tc>
      </w:tr>
      <w:bookmarkEnd w:id="2"/>
    </w:tbl>
    <w:p w14:paraId="5005107A">
      <w:pPr>
        <w:pStyle w:val="22"/>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right"/>
        <w:textAlignment w:val="auto"/>
        <w:outlineLvl w:val="1"/>
        <w:rPr>
          <w:rFonts w:hint="default" w:ascii="仿宋_GB2312" w:hAnsi="仿宋_GB2312" w:eastAsia="仿宋_GB2312" w:cs="仿宋_GB2312"/>
          <w:color w:val="000000"/>
          <w:sz w:val="28"/>
          <w:szCs w:val="28"/>
          <w:lang w:val="en-US" w:eastAsia="zh-CN"/>
        </w:rPr>
      </w:pPr>
      <w:r>
        <w:rPr>
          <w:color w:val="000000"/>
          <w:sz w:val="32"/>
          <w:szCs w:val="32"/>
        </w:rPr>
        <w:br w:type="page"/>
      </w:r>
    </w:p>
    <w:p w14:paraId="6E6F5C78">
      <w:pPr>
        <w:pStyle w:val="22"/>
        <w:ind w:firstLine="0" w:firstLineChars="0"/>
        <w:jc w:val="left"/>
        <w:outlineLvl w:val="1"/>
        <w:rPr>
          <w:rFonts w:eastAsia="黑体"/>
          <w:color w:val="000000"/>
          <w:sz w:val="28"/>
          <w:szCs w:val="44"/>
        </w:rPr>
      </w:pPr>
      <w:r>
        <w:rPr>
          <w:rFonts w:hint="eastAsia" w:eastAsia="黑体"/>
          <w:color w:val="000000"/>
          <w:sz w:val="28"/>
          <w:szCs w:val="44"/>
        </w:rPr>
        <w:t>附件</w:t>
      </w:r>
      <w:r>
        <w:rPr>
          <w:rFonts w:hint="eastAsia" w:eastAsia="黑体"/>
          <w:color w:val="000000"/>
          <w:sz w:val="28"/>
          <w:szCs w:val="44"/>
          <w:lang w:val="en-US" w:eastAsia="zh-CN"/>
        </w:rPr>
        <w:t>五</w:t>
      </w:r>
      <w:r>
        <w:rPr>
          <w:rFonts w:hint="eastAsia" w:eastAsia="黑体"/>
          <w:color w:val="000000"/>
          <w:sz w:val="28"/>
          <w:szCs w:val="44"/>
        </w:rPr>
        <w:t xml:space="preserve">  投标人未到场声明</w:t>
      </w:r>
    </w:p>
    <w:p w14:paraId="1EE8B4DD">
      <w:pPr>
        <w:pStyle w:val="22"/>
        <w:ind w:firstLine="0" w:firstLineChars="0"/>
        <w:jc w:val="center"/>
        <w:outlineLvl w:val="1"/>
        <w:rPr>
          <w:rFonts w:eastAsia="仿宋_GB2312"/>
          <w:b/>
          <w:sz w:val="32"/>
          <w:szCs w:val="32"/>
        </w:rPr>
      </w:pPr>
      <w:r>
        <w:rPr>
          <w:rFonts w:ascii="仿宋_GB2312" w:eastAsia="仿宋_GB2312"/>
          <w:b/>
          <w:sz w:val="32"/>
          <w:szCs w:val="32"/>
        </w:rPr>
        <w:t>投标人未到场声明</w:t>
      </w:r>
    </w:p>
    <w:p w14:paraId="580BEBDD">
      <w:pPr>
        <w:rPr>
          <w:rFonts w:eastAsia="仿宋_GB2312"/>
          <w:color w:val="000000"/>
          <w:sz w:val="32"/>
          <w:szCs w:val="32"/>
        </w:rPr>
      </w:pPr>
      <w:r>
        <w:rPr>
          <w:rFonts w:hint="eastAsia" w:eastAsia="仿宋_GB2312"/>
          <w:sz w:val="32"/>
          <w:szCs w:val="32"/>
        </w:rPr>
        <w:t>东莞市新东欣环保投资有限公司</w:t>
      </w:r>
      <w:r>
        <w:rPr>
          <w:rFonts w:hint="eastAsia" w:eastAsia="仿宋_GB2312"/>
          <w:color w:val="000000"/>
          <w:sz w:val="32"/>
          <w:szCs w:val="32"/>
        </w:rPr>
        <w:t>：</w:t>
      </w:r>
    </w:p>
    <w:p w14:paraId="54F15B37">
      <w:pPr>
        <w:pStyle w:val="23"/>
        <w:ind w:firstLine="659"/>
        <w:rPr>
          <w:rFonts w:ascii="Times New Roman" w:hAnsi="Times New Roman"/>
          <w:color w:val="000000"/>
          <w:sz w:val="32"/>
          <w:szCs w:val="32"/>
        </w:rPr>
      </w:pPr>
      <w:r>
        <w:rPr>
          <w:rFonts w:hint="eastAsia" w:ascii="Times New Roman" w:hAnsi="Times New Roman"/>
          <w:color w:val="000000"/>
          <w:sz w:val="32"/>
          <w:szCs w:val="32"/>
        </w:rPr>
        <w:t>我司就参加</w:t>
      </w:r>
      <w:r>
        <w:rPr>
          <w:rFonts w:hint="eastAsia" w:ascii="Times New Roman" w:hAnsi="Times New Roman"/>
          <w:color w:val="000000"/>
          <w:sz w:val="32"/>
          <w:szCs w:val="32"/>
          <w:u w:val="single"/>
        </w:rPr>
        <w:t>东莞市新东欣环保投资有限公司废水车间蒸发器清洗服务项目</w:t>
      </w:r>
      <w:r>
        <w:rPr>
          <w:rFonts w:hint="eastAsia" w:ascii="Times New Roman" w:hAnsi="Times New Roman"/>
          <w:color w:val="000000"/>
          <w:sz w:val="32"/>
          <w:szCs w:val="32"/>
        </w:rPr>
        <w:t>作出郑重说明：</w:t>
      </w:r>
    </w:p>
    <w:p w14:paraId="610CB4F7">
      <w:pPr>
        <w:pStyle w:val="23"/>
        <w:ind w:firstLine="659"/>
        <w:rPr>
          <w:rFonts w:ascii="Times New Roman" w:hAnsi="Times New Roman"/>
          <w:color w:val="000000"/>
          <w:sz w:val="32"/>
          <w:szCs w:val="32"/>
        </w:rPr>
      </w:pPr>
      <w:r>
        <w:rPr>
          <w:rFonts w:hint="eastAsia" w:ascii="Times New Roman" w:hAnsi="Times New Roman"/>
          <w:color w:val="000000"/>
          <w:sz w:val="32"/>
          <w:szCs w:val="32"/>
        </w:rPr>
        <w:t>我司保证投标资格审查材料及其后提供的一切材料都是真实的；</w:t>
      </w:r>
    </w:p>
    <w:p w14:paraId="156A2591">
      <w:pPr>
        <w:pStyle w:val="23"/>
        <w:ind w:firstLine="659"/>
        <w:rPr>
          <w:rFonts w:ascii="Times New Roman" w:hAnsi="Times New Roman"/>
          <w:color w:val="000000"/>
          <w:sz w:val="32"/>
          <w:szCs w:val="32"/>
        </w:rPr>
      </w:pPr>
      <w:r>
        <w:rPr>
          <w:rFonts w:hint="eastAsia" w:ascii="Times New Roman" w:hAnsi="Times New Roman"/>
          <w:color w:val="000000"/>
          <w:sz w:val="32"/>
          <w:szCs w:val="32"/>
        </w:rPr>
        <w:t>我司承诺未能参加开标工作皆我司原因导致，我司对开标结果不存在任何异议。</w:t>
      </w:r>
    </w:p>
    <w:p w14:paraId="658378AB">
      <w:pPr>
        <w:pStyle w:val="23"/>
        <w:ind w:firstLine="0" w:firstLineChars="0"/>
        <w:jc w:val="left"/>
        <w:rPr>
          <w:rFonts w:ascii="Times New Roman" w:hAnsi="Times New Roman"/>
          <w:color w:val="000000"/>
          <w:sz w:val="32"/>
          <w:szCs w:val="32"/>
        </w:rPr>
      </w:pPr>
    </w:p>
    <w:p w14:paraId="26CC9636">
      <w:pPr>
        <w:jc w:val="left"/>
        <w:rPr>
          <w:rFonts w:eastAsia="仿宋"/>
          <w:color w:val="000000"/>
          <w:sz w:val="32"/>
          <w:szCs w:val="32"/>
        </w:rPr>
      </w:pPr>
    </w:p>
    <w:p w14:paraId="2DFA06A9">
      <w:pPr>
        <w:spacing w:line="360" w:lineRule="auto"/>
        <w:ind w:firstLine="640" w:firstLineChars="200"/>
        <w:rPr>
          <w:rFonts w:eastAsia="仿宋_GB2312"/>
          <w:sz w:val="32"/>
          <w:szCs w:val="32"/>
        </w:rPr>
      </w:pPr>
      <w:r>
        <w:rPr>
          <w:rFonts w:hint="eastAsia" w:eastAsia="仿宋_GB2312"/>
          <w:sz w:val="32"/>
          <w:szCs w:val="32"/>
        </w:rPr>
        <w:t>报价人名称（加盖公章）：</w:t>
      </w:r>
    </w:p>
    <w:p w14:paraId="2081BB8C">
      <w:pPr>
        <w:spacing w:line="360" w:lineRule="auto"/>
        <w:ind w:firstLine="640" w:firstLineChars="200"/>
        <w:rPr>
          <w:rFonts w:eastAsia="仿宋_GB2312"/>
          <w:sz w:val="32"/>
          <w:szCs w:val="32"/>
        </w:rPr>
      </w:pPr>
      <w:r>
        <w:rPr>
          <w:rFonts w:hint="eastAsia" w:eastAsia="仿宋_GB2312"/>
          <w:sz w:val="32"/>
          <w:szCs w:val="32"/>
        </w:rPr>
        <w:t>法定代表人（签字或盖章）：</w:t>
      </w:r>
    </w:p>
    <w:p w14:paraId="288F4C66">
      <w:pPr>
        <w:spacing w:line="360" w:lineRule="auto"/>
        <w:ind w:firstLine="640" w:firstLineChars="200"/>
        <w:rPr>
          <w:rFonts w:eastAsia="仿宋_GB2312"/>
          <w:sz w:val="32"/>
          <w:szCs w:val="32"/>
        </w:rPr>
      </w:pPr>
      <w:r>
        <w:rPr>
          <w:rFonts w:hint="eastAsia" w:eastAsia="仿宋_GB2312"/>
          <w:sz w:val="32"/>
          <w:szCs w:val="32"/>
        </w:rPr>
        <w:t>日期：</w:t>
      </w:r>
    </w:p>
    <w:p w14:paraId="36C19FEC">
      <w:pPr>
        <w:pStyle w:val="23"/>
        <w:ind w:firstLine="0" w:firstLineChars="0"/>
        <w:jc w:val="left"/>
        <w:rPr>
          <w:rFonts w:ascii="Times New Roman" w:hAnsi="Times New Roman"/>
          <w:color w:val="000000"/>
          <w:sz w:val="32"/>
          <w:szCs w:val="32"/>
        </w:rPr>
      </w:pPr>
    </w:p>
    <w:p w14:paraId="0C17BFC3">
      <w:pPr>
        <w:rPr>
          <w:color w:val="000000"/>
          <w:sz w:val="32"/>
          <w:szCs w:val="32"/>
        </w:rPr>
      </w:pPr>
      <w:r>
        <w:rPr>
          <w:color w:val="000000"/>
          <w:sz w:val="32"/>
          <w:szCs w:val="32"/>
        </w:rPr>
        <w:br w:type="page"/>
      </w:r>
    </w:p>
    <w:p w14:paraId="6464DCC8">
      <w:pPr>
        <w:pStyle w:val="22"/>
        <w:ind w:firstLine="0" w:firstLineChars="0"/>
        <w:jc w:val="left"/>
        <w:outlineLvl w:val="1"/>
        <w:rPr>
          <w:rFonts w:eastAsia="黑体"/>
          <w:color w:val="000000"/>
          <w:sz w:val="28"/>
          <w:szCs w:val="44"/>
          <w:highlight w:val="none"/>
        </w:rPr>
      </w:pPr>
      <w:r>
        <w:rPr>
          <w:rFonts w:hint="eastAsia" w:eastAsia="黑体"/>
          <w:color w:val="000000"/>
          <w:sz w:val="28"/>
          <w:szCs w:val="44"/>
          <w:highlight w:val="none"/>
        </w:rPr>
        <w:t>附件</w:t>
      </w:r>
      <w:r>
        <w:rPr>
          <w:rFonts w:hint="eastAsia" w:eastAsia="黑体"/>
          <w:color w:val="000000"/>
          <w:sz w:val="28"/>
          <w:szCs w:val="44"/>
          <w:highlight w:val="none"/>
          <w:lang w:val="en-US" w:eastAsia="zh-CN"/>
        </w:rPr>
        <w:t>六</w:t>
      </w:r>
      <w:r>
        <w:rPr>
          <w:rFonts w:hint="eastAsia" w:eastAsia="黑体"/>
          <w:color w:val="000000"/>
          <w:sz w:val="28"/>
          <w:szCs w:val="44"/>
          <w:highlight w:val="none"/>
        </w:rPr>
        <w:t xml:space="preserve">  资格要求</w:t>
      </w:r>
    </w:p>
    <w:p w14:paraId="3711EEBA">
      <w:pPr>
        <w:spacing w:line="460" w:lineRule="exact"/>
        <w:ind w:firstLine="640" w:firstLineChars="200"/>
        <w:rPr>
          <w:rFonts w:hint="eastAsia" w:ascii="仿宋_GB2312" w:hAnsi="仿宋_GB2312" w:eastAsia="仿宋_GB2312" w:cs="仿宋_GB2312"/>
          <w:sz w:val="32"/>
          <w:szCs w:val="32"/>
        </w:rPr>
      </w:pPr>
    </w:p>
    <w:p w14:paraId="61B7C9B6">
      <w:pPr>
        <w:pStyle w:val="2"/>
        <w:keepNext w:val="0"/>
        <w:keepLines w:val="0"/>
        <w:pageBreakBefore w:val="0"/>
        <w:widowControl w:val="0"/>
        <w:kinsoku/>
        <w:wordWrap/>
        <w:overflowPunct/>
        <w:topLinePunct w:val="0"/>
        <w:autoSpaceDE/>
        <w:autoSpaceDN/>
        <w:bidi w:val="0"/>
        <w:adjustRightInd/>
        <w:snapToGrid/>
        <w:spacing w:after="0" w:line="4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响应人须为在中华人民共和国境内登记注册的具有独立承担民事责任能力的法人或其他组织。【提供《营业执照》复印件（加盖公章）或《事业单位法人证书》复印件（加盖公章）或其他主体证书复印件（加盖公章）】；</w:t>
      </w:r>
    </w:p>
    <w:p w14:paraId="51E6206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2"/>
          <w:sz w:val="32"/>
          <w:szCs w:val="32"/>
          <w:lang w:val="en-US" w:eastAsia="zh-CN" w:bidi="ar-SA"/>
        </w:rPr>
        <w:t>2、响应人必须具有</w:t>
      </w:r>
      <w:r>
        <w:rPr>
          <w:rFonts w:hint="eastAsia" w:ascii="仿宋_GB2312" w:hAnsi="仿宋_GB2312" w:eastAsia="仿宋_GB2312" w:cs="仿宋_GB2312"/>
          <w:b/>
          <w:bCs/>
          <w:kern w:val="2"/>
          <w:sz w:val="32"/>
          <w:szCs w:val="32"/>
          <w:lang w:val="en-US" w:eastAsia="zh-CN" w:bidi="ar-SA"/>
        </w:rPr>
        <w:t>蒸发器或相近设备清洗业绩</w:t>
      </w:r>
      <w:r>
        <w:rPr>
          <w:rFonts w:hint="eastAsia" w:ascii="仿宋_GB2312" w:hAnsi="仿宋_GB2312" w:eastAsia="仿宋_GB2312" w:cs="仿宋_GB2312"/>
          <w:kern w:val="2"/>
          <w:sz w:val="32"/>
          <w:szCs w:val="32"/>
          <w:lang w:val="en-US" w:eastAsia="zh-CN" w:bidi="ar-SA"/>
        </w:rPr>
        <w:t>【不少于1个，提供</w:t>
      </w:r>
      <w:r>
        <w:rPr>
          <w:rFonts w:hint="eastAsia" w:ascii="仿宋_GB2312" w:hAnsi="仿宋_GB2312" w:eastAsia="仿宋_GB2312" w:cs="仿宋_GB2312"/>
          <w:b/>
          <w:bCs/>
          <w:kern w:val="2"/>
          <w:sz w:val="32"/>
          <w:szCs w:val="32"/>
          <w:lang w:val="en-US" w:eastAsia="zh-CN" w:bidi="ar-SA"/>
        </w:rPr>
        <w:t>合同主要页复印件</w:t>
      </w:r>
      <w:r>
        <w:rPr>
          <w:rFonts w:hint="eastAsia" w:ascii="仿宋_GB2312" w:hAnsi="仿宋_GB2312" w:eastAsia="仿宋_GB2312" w:cs="仿宋_GB2312"/>
          <w:kern w:val="2"/>
          <w:sz w:val="32"/>
          <w:szCs w:val="32"/>
          <w:lang w:val="en-US" w:eastAsia="zh-CN" w:bidi="ar-SA"/>
        </w:rPr>
        <w:t>（包含但不限于合同首页、合同金额页、合同签字页等）及该合同期内任意一期已开具的</w:t>
      </w:r>
      <w:r>
        <w:rPr>
          <w:rFonts w:hint="eastAsia" w:ascii="仿宋_GB2312" w:hAnsi="仿宋_GB2312" w:eastAsia="仿宋_GB2312" w:cs="仿宋_GB2312"/>
          <w:b/>
          <w:bCs/>
          <w:kern w:val="2"/>
          <w:sz w:val="32"/>
          <w:szCs w:val="32"/>
          <w:lang w:val="en-US" w:eastAsia="zh-CN" w:bidi="ar-SA"/>
        </w:rPr>
        <w:t>发票复印件加盖公章</w:t>
      </w:r>
      <w:r>
        <w:rPr>
          <w:rFonts w:hint="eastAsia" w:ascii="仿宋_GB2312" w:hAnsi="仿宋_GB2312" w:eastAsia="仿宋_GB2312" w:cs="仿宋_GB2312"/>
          <w:kern w:val="2"/>
          <w:sz w:val="32"/>
          <w:szCs w:val="32"/>
          <w:lang w:val="en-US" w:eastAsia="zh-CN" w:bidi="ar-SA"/>
        </w:rPr>
        <w:t>】；</w:t>
      </w:r>
    </w:p>
    <w:tbl>
      <w:tblPr>
        <w:tblStyle w:val="14"/>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5"/>
        <w:gridCol w:w="1882"/>
        <w:gridCol w:w="1639"/>
        <w:gridCol w:w="3150"/>
        <w:gridCol w:w="1076"/>
      </w:tblGrid>
      <w:tr w14:paraId="629D3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vAlign w:val="center"/>
          </w:tcPr>
          <w:p w14:paraId="261163FA">
            <w:pPr>
              <w:jc w:val="center"/>
              <w:rPr>
                <w:rFonts w:ascii="仿宋" w:hAnsi="仿宋" w:eastAsia="仿宋" w:cs="仿宋"/>
                <w:sz w:val="30"/>
                <w:szCs w:val="30"/>
              </w:rPr>
            </w:pPr>
            <w:r>
              <w:rPr>
                <w:rFonts w:hint="eastAsia" w:ascii="仿宋" w:hAnsi="仿宋" w:eastAsia="仿宋" w:cs="仿宋"/>
                <w:sz w:val="30"/>
                <w:szCs w:val="30"/>
              </w:rPr>
              <w:t>序号</w:t>
            </w:r>
          </w:p>
        </w:tc>
        <w:tc>
          <w:tcPr>
            <w:tcW w:w="1032" w:type="pct"/>
            <w:vAlign w:val="center"/>
          </w:tcPr>
          <w:p w14:paraId="7850EE39">
            <w:pPr>
              <w:jc w:val="center"/>
              <w:rPr>
                <w:rFonts w:ascii="仿宋" w:hAnsi="仿宋" w:eastAsia="仿宋" w:cs="仿宋"/>
                <w:sz w:val="30"/>
                <w:szCs w:val="30"/>
              </w:rPr>
            </w:pPr>
            <w:r>
              <w:rPr>
                <w:rFonts w:hint="eastAsia" w:ascii="仿宋" w:hAnsi="仿宋" w:eastAsia="仿宋" w:cs="仿宋"/>
                <w:sz w:val="30"/>
                <w:szCs w:val="30"/>
              </w:rPr>
              <w:t>项目名称</w:t>
            </w:r>
          </w:p>
        </w:tc>
        <w:tc>
          <w:tcPr>
            <w:tcW w:w="899" w:type="pct"/>
            <w:vAlign w:val="center"/>
          </w:tcPr>
          <w:p w14:paraId="619175F4">
            <w:pPr>
              <w:jc w:val="center"/>
              <w:rPr>
                <w:rFonts w:ascii="仿宋" w:hAnsi="仿宋" w:eastAsia="仿宋" w:cs="仿宋"/>
                <w:sz w:val="30"/>
                <w:szCs w:val="30"/>
              </w:rPr>
            </w:pPr>
            <w:r>
              <w:rPr>
                <w:rFonts w:hint="eastAsia" w:ascii="仿宋" w:hAnsi="仿宋" w:eastAsia="仿宋" w:cs="仿宋"/>
                <w:sz w:val="30"/>
                <w:szCs w:val="30"/>
              </w:rPr>
              <w:t>项目金额</w:t>
            </w:r>
          </w:p>
        </w:tc>
        <w:tc>
          <w:tcPr>
            <w:tcW w:w="1728" w:type="pct"/>
            <w:vAlign w:val="center"/>
          </w:tcPr>
          <w:p w14:paraId="17451676">
            <w:pPr>
              <w:jc w:val="center"/>
              <w:rPr>
                <w:rFonts w:ascii="仿宋" w:hAnsi="仿宋" w:eastAsia="仿宋" w:cs="仿宋"/>
                <w:sz w:val="30"/>
                <w:szCs w:val="30"/>
              </w:rPr>
            </w:pPr>
            <w:r>
              <w:rPr>
                <w:rFonts w:hint="eastAsia" w:ascii="仿宋" w:hAnsi="仿宋" w:eastAsia="仿宋" w:cs="仿宋"/>
                <w:sz w:val="30"/>
                <w:szCs w:val="30"/>
              </w:rPr>
              <w:t>项目合同签订时间</w:t>
            </w:r>
          </w:p>
        </w:tc>
        <w:tc>
          <w:tcPr>
            <w:tcW w:w="590" w:type="pct"/>
            <w:vAlign w:val="center"/>
          </w:tcPr>
          <w:p w14:paraId="35E0A787">
            <w:pPr>
              <w:jc w:val="center"/>
              <w:rPr>
                <w:rFonts w:ascii="仿宋" w:hAnsi="仿宋" w:eastAsia="仿宋" w:cs="仿宋"/>
                <w:sz w:val="30"/>
                <w:szCs w:val="30"/>
              </w:rPr>
            </w:pPr>
            <w:r>
              <w:rPr>
                <w:rFonts w:hint="eastAsia" w:ascii="仿宋" w:hAnsi="仿宋" w:eastAsia="仿宋" w:cs="仿宋"/>
                <w:sz w:val="30"/>
                <w:szCs w:val="30"/>
              </w:rPr>
              <w:t>备注</w:t>
            </w:r>
          </w:p>
        </w:tc>
      </w:tr>
      <w:tr w14:paraId="10C89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vAlign w:val="center"/>
          </w:tcPr>
          <w:p w14:paraId="26DBE560">
            <w:pPr>
              <w:jc w:val="center"/>
              <w:rPr>
                <w:rFonts w:ascii="仿宋" w:hAnsi="仿宋" w:eastAsia="仿宋" w:cs="仿宋"/>
                <w:sz w:val="30"/>
                <w:szCs w:val="30"/>
              </w:rPr>
            </w:pPr>
          </w:p>
        </w:tc>
        <w:tc>
          <w:tcPr>
            <w:tcW w:w="1032" w:type="pct"/>
            <w:vAlign w:val="center"/>
          </w:tcPr>
          <w:p w14:paraId="53CF15D4">
            <w:pPr>
              <w:jc w:val="center"/>
              <w:rPr>
                <w:rFonts w:ascii="仿宋" w:hAnsi="仿宋" w:eastAsia="仿宋" w:cs="仿宋"/>
                <w:sz w:val="30"/>
                <w:szCs w:val="30"/>
              </w:rPr>
            </w:pPr>
          </w:p>
        </w:tc>
        <w:tc>
          <w:tcPr>
            <w:tcW w:w="899" w:type="pct"/>
            <w:vAlign w:val="center"/>
          </w:tcPr>
          <w:p w14:paraId="0C5D6C93">
            <w:pPr>
              <w:jc w:val="center"/>
              <w:rPr>
                <w:rFonts w:ascii="仿宋" w:hAnsi="仿宋" w:eastAsia="仿宋" w:cs="仿宋"/>
                <w:sz w:val="30"/>
                <w:szCs w:val="30"/>
              </w:rPr>
            </w:pPr>
          </w:p>
        </w:tc>
        <w:tc>
          <w:tcPr>
            <w:tcW w:w="1728" w:type="pct"/>
            <w:vAlign w:val="center"/>
          </w:tcPr>
          <w:p w14:paraId="2430432F">
            <w:pPr>
              <w:jc w:val="center"/>
              <w:rPr>
                <w:rFonts w:ascii="仿宋" w:hAnsi="仿宋" w:eastAsia="仿宋" w:cs="仿宋"/>
                <w:sz w:val="30"/>
                <w:szCs w:val="30"/>
              </w:rPr>
            </w:pPr>
          </w:p>
        </w:tc>
        <w:tc>
          <w:tcPr>
            <w:tcW w:w="590" w:type="pct"/>
            <w:vAlign w:val="center"/>
          </w:tcPr>
          <w:p w14:paraId="1C77BC0F">
            <w:pPr>
              <w:jc w:val="center"/>
              <w:rPr>
                <w:rFonts w:ascii="仿宋" w:hAnsi="仿宋" w:eastAsia="仿宋" w:cs="仿宋"/>
                <w:sz w:val="30"/>
                <w:szCs w:val="30"/>
              </w:rPr>
            </w:pPr>
          </w:p>
        </w:tc>
      </w:tr>
      <w:tr w14:paraId="40249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tcPr>
          <w:p w14:paraId="16A98A0B">
            <w:pPr>
              <w:rPr>
                <w:rFonts w:ascii="仿宋" w:hAnsi="仿宋" w:eastAsia="仿宋" w:cs="仿宋"/>
                <w:sz w:val="30"/>
                <w:szCs w:val="30"/>
              </w:rPr>
            </w:pPr>
          </w:p>
        </w:tc>
        <w:tc>
          <w:tcPr>
            <w:tcW w:w="1032" w:type="pct"/>
          </w:tcPr>
          <w:p w14:paraId="0F7FEBE1">
            <w:pPr>
              <w:rPr>
                <w:rFonts w:ascii="仿宋" w:hAnsi="仿宋" w:eastAsia="仿宋" w:cs="仿宋"/>
                <w:sz w:val="30"/>
                <w:szCs w:val="30"/>
              </w:rPr>
            </w:pPr>
          </w:p>
        </w:tc>
        <w:tc>
          <w:tcPr>
            <w:tcW w:w="899" w:type="pct"/>
          </w:tcPr>
          <w:p w14:paraId="55A98D56">
            <w:pPr>
              <w:rPr>
                <w:rFonts w:ascii="仿宋" w:hAnsi="仿宋" w:eastAsia="仿宋" w:cs="仿宋"/>
                <w:sz w:val="30"/>
                <w:szCs w:val="30"/>
              </w:rPr>
            </w:pPr>
          </w:p>
        </w:tc>
        <w:tc>
          <w:tcPr>
            <w:tcW w:w="1728" w:type="pct"/>
          </w:tcPr>
          <w:p w14:paraId="3F51AAC5">
            <w:pPr>
              <w:rPr>
                <w:rFonts w:ascii="仿宋" w:hAnsi="仿宋" w:eastAsia="仿宋" w:cs="仿宋"/>
                <w:sz w:val="30"/>
                <w:szCs w:val="30"/>
              </w:rPr>
            </w:pPr>
          </w:p>
        </w:tc>
        <w:tc>
          <w:tcPr>
            <w:tcW w:w="590" w:type="pct"/>
          </w:tcPr>
          <w:p w14:paraId="0246EBA8">
            <w:pPr>
              <w:rPr>
                <w:rFonts w:ascii="仿宋" w:hAnsi="仿宋" w:eastAsia="仿宋" w:cs="仿宋"/>
                <w:sz w:val="30"/>
                <w:szCs w:val="30"/>
              </w:rPr>
            </w:pPr>
          </w:p>
        </w:tc>
      </w:tr>
    </w:tbl>
    <w:p w14:paraId="08707275">
      <w:pPr>
        <w:pStyle w:val="2"/>
        <w:spacing w:after="0" w:line="4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注：</w:t>
      </w:r>
    </w:p>
    <w:p w14:paraId="65B6AB91">
      <w:pPr>
        <w:pStyle w:val="2"/>
        <w:spacing w:after="0" w:line="4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①</w:t>
      </w:r>
      <w:r>
        <w:rPr>
          <w:rFonts w:hint="eastAsia" w:ascii="仿宋_GB2312" w:hAnsi="仿宋_GB2312" w:eastAsia="仿宋_GB2312" w:cs="仿宋_GB2312"/>
          <w:sz w:val="32"/>
          <w:szCs w:val="32"/>
        </w:rPr>
        <w:t>该表格为参考格式，供应商可按实际情况编制。</w:t>
      </w:r>
    </w:p>
    <w:p w14:paraId="4EEB48D4">
      <w:pPr>
        <w:pStyle w:val="2"/>
        <w:spacing w:after="0" w:line="4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②</w:t>
      </w:r>
      <w:r>
        <w:rPr>
          <w:rFonts w:hint="eastAsia" w:ascii="仿宋_GB2312" w:hAnsi="仿宋_GB2312" w:eastAsia="仿宋_GB2312" w:cs="仿宋_GB2312"/>
          <w:sz w:val="32"/>
          <w:szCs w:val="32"/>
        </w:rPr>
        <w:t>业绩表所列出的材料应为真实准确的，并应提供相关证明材料复印件加盖公章。请勿提供虚假、过期材料，否则将依据相关规定严肃处理。</w:t>
      </w:r>
    </w:p>
    <w:p w14:paraId="6E568C72">
      <w:pPr>
        <w:keepNext w:val="0"/>
        <w:keepLines w:val="0"/>
        <w:pageBreakBefore w:val="0"/>
        <w:widowControl w:val="0"/>
        <w:kinsoku/>
        <w:wordWrap/>
        <w:overflowPunct/>
        <w:topLinePunct w:val="0"/>
        <w:bidi w:val="0"/>
        <w:spacing w:line="560" w:lineRule="exact"/>
        <w:ind w:firstLine="640" w:firstLineChars="200"/>
        <w:textAlignment w:val="auto"/>
        <w:rPr>
          <w:rFonts w:hint="default" w:ascii="仿宋_GB2312" w:hAnsi="仿宋_GB2312" w:eastAsia="仿宋_GB2312" w:cs="仿宋_GB2312"/>
          <w:kern w:val="2"/>
          <w:sz w:val="32"/>
          <w:szCs w:val="32"/>
          <w:lang w:val="en-US" w:eastAsia="zh-CN" w:bidi="ar-SA"/>
        </w:rPr>
      </w:pPr>
    </w:p>
    <w:p w14:paraId="129303C6">
      <w:pPr>
        <w:keepNext w:val="0"/>
        <w:keepLines w:val="0"/>
        <w:pageBreakBefore w:val="0"/>
        <w:widowControl w:val="0"/>
        <w:kinsoku/>
        <w:wordWrap/>
        <w:overflowPunct/>
        <w:topLinePunct w:val="0"/>
        <w:bidi w:val="0"/>
        <w:spacing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3、未被列入东实环境及下属企业相关领域黑名单。</w:t>
      </w:r>
    </w:p>
    <w:p w14:paraId="3016DD4D">
      <w:pPr>
        <w:pStyle w:val="2"/>
        <w:spacing w:line="460" w:lineRule="exact"/>
        <w:ind w:firstLine="640" w:firstLineChars="200"/>
        <w:rPr>
          <w:rFonts w:hint="eastAsia" w:ascii="仿宋_GB2312" w:hAnsi="仿宋_GB2312" w:eastAsia="仿宋_GB2312" w:cs="仿宋_GB2312"/>
          <w:kern w:val="2"/>
          <w:sz w:val="32"/>
          <w:szCs w:val="32"/>
          <w:lang w:val="en-US" w:eastAsia="zh-CN" w:bidi="ar-SA"/>
        </w:rPr>
      </w:pPr>
    </w:p>
    <w:p w14:paraId="7776AF53">
      <w:pPr>
        <w:rPr>
          <w:rFonts w:eastAsia="黑体"/>
          <w:color w:val="000000"/>
          <w:sz w:val="28"/>
          <w:szCs w:val="44"/>
        </w:rPr>
      </w:pPr>
      <w:r>
        <w:rPr>
          <w:rFonts w:eastAsia="黑体"/>
          <w:color w:val="000000"/>
          <w:sz w:val="28"/>
          <w:szCs w:val="44"/>
        </w:rPr>
        <w:br w:type="page"/>
      </w:r>
    </w:p>
    <w:p w14:paraId="32E5059A">
      <w:pPr>
        <w:pStyle w:val="22"/>
        <w:ind w:firstLine="0" w:firstLineChars="0"/>
        <w:jc w:val="left"/>
        <w:outlineLvl w:val="1"/>
        <w:rPr>
          <w:rFonts w:hint="eastAsia" w:eastAsia="黑体"/>
          <w:color w:val="000000"/>
          <w:sz w:val="28"/>
          <w:szCs w:val="44"/>
        </w:rPr>
      </w:pPr>
      <w:bookmarkStart w:id="3" w:name="_Hlk40704598"/>
      <w:r>
        <w:rPr>
          <w:rFonts w:hint="eastAsia" w:eastAsia="黑体"/>
          <w:color w:val="000000"/>
          <w:sz w:val="28"/>
          <w:szCs w:val="44"/>
        </w:rPr>
        <w:t>附件</w:t>
      </w:r>
      <w:r>
        <w:rPr>
          <w:rFonts w:hint="eastAsia" w:eastAsia="黑体"/>
          <w:color w:val="000000"/>
          <w:sz w:val="28"/>
          <w:szCs w:val="44"/>
          <w:lang w:val="en-US" w:eastAsia="zh-CN"/>
        </w:rPr>
        <w:t>七</w:t>
      </w:r>
      <w:r>
        <w:rPr>
          <w:rFonts w:hint="eastAsia" w:eastAsia="黑体"/>
          <w:color w:val="000000"/>
          <w:sz w:val="28"/>
          <w:szCs w:val="44"/>
        </w:rPr>
        <w:t xml:space="preserve">  合同模板</w:t>
      </w:r>
      <w:bookmarkEnd w:id="0"/>
      <w:bookmarkEnd w:id="3"/>
    </w:p>
    <w:p w14:paraId="04C5C15E">
      <w:pPr>
        <w:keepNext w:val="0"/>
        <w:keepLines w:val="0"/>
        <w:pageBreakBefore w:val="0"/>
        <w:widowControl w:val="0"/>
        <w:kinsoku/>
        <w:wordWrap/>
        <w:overflowPunct/>
        <w:topLinePunct w:val="0"/>
        <w:bidi w:val="0"/>
        <w:snapToGrid/>
        <w:spacing w:line="460" w:lineRule="exact"/>
        <w:textAlignment w:val="auto"/>
        <w:rPr>
          <w:rFonts w:hint="eastAsia" w:ascii="楷体" w:hAnsi="楷体" w:eastAsia="楷体" w:cs="楷体"/>
          <w:sz w:val="28"/>
          <w:szCs w:val="28"/>
        </w:rPr>
      </w:pPr>
      <w:r>
        <w:rPr>
          <w:rFonts w:hint="eastAsia" w:ascii="楷体" w:hAnsi="楷体" w:eastAsia="楷体" w:cs="楷体"/>
          <w:sz w:val="28"/>
          <w:szCs w:val="28"/>
        </w:rPr>
        <w:t>甲方合同编号：</w:t>
      </w:r>
    </w:p>
    <w:p w14:paraId="60823D8E">
      <w:pPr>
        <w:keepNext w:val="0"/>
        <w:keepLines w:val="0"/>
        <w:pageBreakBefore w:val="0"/>
        <w:widowControl w:val="0"/>
        <w:kinsoku/>
        <w:wordWrap/>
        <w:overflowPunct/>
        <w:topLinePunct w:val="0"/>
        <w:bidi w:val="0"/>
        <w:snapToGrid/>
        <w:spacing w:line="460" w:lineRule="exact"/>
        <w:textAlignment w:val="auto"/>
        <w:rPr>
          <w:rFonts w:hint="eastAsia" w:ascii="楷体" w:hAnsi="楷体" w:eastAsia="楷体" w:cs="楷体"/>
          <w:sz w:val="28"/>
          <w:szCs w:val="28"/>
        </w:rPr>
      </w:pPr>
      <w:r>
        <w:rPr>
          <w:rFonts w:hint="eastAsia" w:ascii="楷体" w:hAnsi="楷体" w:eastAsia="楷体" w:cs="楷体"/>
          <w:sz w:val="28"/>
          <w:szCs w:val="28"/>
        </w:rPr>
        <w:t>乙方合同编号：</w:t>
      </w:r>
    </w:p>
    <w:p w14:paraId="0F391039">
      <w:pPr>
        <w:keepNext w:val="0"/>
        <w:keepLines w:val="0"/>
        <w:pageBreakBefore w:val="0"/>
        <w:widowControl w:val="0"/>
        <w:kinsoku/>
        <w:wordWrap/>
        <w:overflowPunct/>
        <w:topLinePunct w:val="0"/>
        <w:bidi w:val="0"/>
        <w:snapToGrid/>
        <w:spacing w:line="460" w:lineRule="exact"/>
        <w:ind w:firstLine="560" w:firstLineChars="200"/>
        <w:jc w:val="center"/>
        <w:textAlignment w:val="auto"/>
        <w:rPr>
          <w:rFonts w:hint="eastAsia" w:ascii="楷体" w:hAnsi="楷体" w:eastAsia="楷体" w:cs="楷体"/>
          <w:b/>
          <w:sz w:val="28"/>
          <w:szCs w:val="28"/>
        </w:rPr>
      </w:pPr>
    </w:p>
    <w:p w14:paraId="45AB6A27">
      <w:pPr>
        <w:keepNext w:val="0"/>
        <w:keepLines w:val="0"/>
        <w:pageBreakBefore w:val="0"/>
        <w:widowControl w:val="0"/>
        <w:kinsoku/>
        <w:wordWrap/>
        <w:overflowPunct/>
        <w:topLinePunct w:val="0"/>
        <w:bidi w:val="0"/>
        <w:snapToGrid/>
        <w:spacing w:line="460" w:lineRule="exact"/>
        <w:jc w:val="center"/>
        <w:textAlignment w:val="auto"/>
        <w:rPr>
          <w:rFonts w:hint="eastAsia" w:ascii="楷体" w:hAnsi="楷体" w:eastAsia="楷体" w:cs="楷体"/>
          <w:b/>
          <w:sz w:val="28"/>
          <w:szCs w:val="28"/>
        </w:rPr>
      </w:pPr>
      <w:r>
        <w:rPr>
          <w:rFonts w:hint="eastAsia" w:ascii="楷体" w:hAnsi="楷体" w:eastAsia="楷体" w:cs="楷体"/>
          <w:b/>
          <w:sz w:val="28"/>
          <w:szCs w:val="28"/>
        </w:rPr>
        <w:t>东莞市新东欣环保投资有限公司</w:t>
      </w:r>
    </w:p>
    <w:p w14:paraId="2D5155F8">
      <w:pPr>
        <w:keepNext w:val="0"/>
        <w:keepLines w:val="0"/>
        <w:pageBreakBefore w:val="0"/>
        <w:widowControl w:val="0"/>
        <w:kinsoku/>
        <w:wordWrap/>
        <w:overflowPunct/>
        <w:topLinePunct w:val="0"/>
        <w:bidi w:val="0"/>
        <w:snapToGrid/>
        <w:spacing w:line="460" w:lineRule="exact"/>
        <w:jc w:val="center"/>
        <w:textAlignment w:val="auto"/>
        <w:rPr>
          <w:rFonts w:hint="eastAsia" w:ascii="楷体" w:hAnsi="楷体" w:eastAsia="楷体" w:cs="楷体"/>
          <w:bCs/>
          <w:kern w:val="0"/>
          <w:sz w:val="28"/>
          <w:szCs w:val="28"/>
        </w:rPr>
      </w:pPr>
      <w:r>
        <w:rPr>
          <w:rFonts w:hint="eastAsia" w:ascii="楷体" w:hAnsi="楷体" w:eastAsia="楷体" w:cs="楷体"/>
          <w:b/>
          <w:sz w:val="28"/>
          <w:szCs w:val="28"/>
        </w:rPr>
        <w:t>废水车间蒸发器清洗服务项目</w:t>
      </w:r>
      <w:r>
        <w:rPr>
          <w:rFonts w:hint="eastAsia" w:ascii="楷体" w:hAnsi="楷体" w:eastAsia="楷体" w:cs="楷体"/>
          <w:b/>
          <w:sz w:val="28"/>
          <w:szCs w:val="28"/>
          <w:lang w:val="en-US" w:eastAsia="zh-CN"/>
        </w:rPr>
        <w:t>合同</w:t>
      </w:r>
    </w:p>
    <w:p w14:paraId="629DE5FB">
      <w:pPr>
        <w:keepNext w:val="0"/>
        <w:keepLines w:val="0"/>
        <w:pageBreakBefore w:val="0"/>
        <w:widowControl w:val="0"/>
        <w:kinsoku/>
        <w:wordWrap/>
        <w:overflowPunct/>
        <w:topLinePunct w:val="0"/>
        <w:bidi w:val="0"/>
        <w:snapToGrid/>
        <w:spacing w:line="460" w:lineRule="exact"/>
        <w:ind w:firstLine="560" w:firstLineChars="200"/>
        <w:textAlignment w:val="auto"/>
        <w:rPr>
          <w:rFonts w:hint="eastAsia" w:ascii="楷体" w:hAnsi="楷体" w:eastAsia="楷体" w:cs="楷体"/>
          <w:bCs/>
          <w:kern w:val="0"/>
          <w:sz w:val="28"/>
          <w:szCs w:val="28"/>
        </w:rPr>
      </w:pPr>
    </w:p>
    <w:p w14:paraId="764C9654">
      <w:pPr>
        <w:keepNext w:val="0"/>
        <w:keepLines w:val="0"/>
        <w:pageBreakBefore w:val="0"/>
        <w:widowControl w:val="0"/>
        <w:kinsoku/>
        <w:wordWrap/>
        <w:overflowPunct/>
        <w:topLinePunct w:val="0"/>
        <w:bidi w:val="0"/>
        <w:snapToGrid/>
        <w:spacing w:line="460" w:lineRule="exact"/>
        <w:ind w:firstLine="560" w:firstLineChars="200"/>
        <w:textAlignment w:val="auto"/>
        <w:rPr>
          <w:rFonts w:hint="eastAsia" w:ascii="楷体" w:hAnsi="楷体" w:eastAsia="楷体" w:cs="楷体"/>
          <w:bCs/>
          <w:kern w:val="0"/>
          <w:sz w:val="28"/>
          <w:szCs w:val="28"/>
          <w:lang w:val="en-US" w:eastAsia="zh-CN"/>
        </w:rPr>
      </w:pPr>
      <w:r>
        <w:rPr>
          <w:rFonts w:hint="eastAsia" w:ascii="楷体" w:hAnsi="楷体" w:eastAsia="楷体" w:cs="楷体"/>
          <w:bCs/>
          <w:kern w:val="0"/>
          <w:sz w:val="28"/>
          <w:szCs w:val="28"/>
          <w:lang w:val="en-US" w:eastAsia="zh-CN"/>
        </w:rPr>
        <w:t>甲方：东莞市新东欣环保投资有限公司</w:t>
      </w:r>
    </w:p>
    <w:p w14:paraId="5E3B0A60">
      <w:pPr>
        <w:keepNext w:val="0"/>
        <w:keepLines w:val="0"/>
        <w:pageBreakBefore w:val="0"/>
        <w:widowControl w:val="0"/>
        <w:kinsoku/>
        <w:wordWrap/>
        <w:overflowPunct/>
        <w:topLinePunct w:val="0"/>
        <w:bidi w:val="0"/>
        <w:snapToGrid/>
        <w:spacing w:line="460" w:lineRule="exact"/>
        <w:ind w:firstLine="560" w:firstLineChars="200"/>
        <w:textAlignment w:val="auto"/>
        <w:rPr>
          <w:rFonts w:hint="eastAsia" w:ascii="楷体" w:hAnsi="楷体" w:eastAsia="楷体" w:cs="楷体"/>
          <w:bCs/>
          <w:kern w:val="0"/>
          <w:sz w:val="28"/>
          <w:szCs w:val="28"/>
        </w:rPr>
      </w:pPr>
      <w:r>
        <w:rPr>
          <w:rFonts w:hint="eastAsia" w:ascii="楷体" w:hAnsi="楷体" w:eastAsia="楷体" w:cs="楷体"/>
          <w:bCs/>
          <w:kern w:val="0"/>
          <w:sz w:val="28"/>
          <w:szCs w:val="28"/>
        </w:rPr>
        <w:t xml:space="preserve">乙方： XXX公司            </w:t>
      </w:r>
    </w:p>
    <w:p w14:paraId="30DED7D2">
      <w:pPr>
        <w:keepNext w:val="0"/>
        <w:keepLines w:val="0"/>
        <w:pageBreakBefore w:val="0"/>
        <w:widowControl w:val="0"/>
        <w:kinsoku/>
        <w:wordWrap/>
        <w:overflowPunct/>
        <w:topLinePunct w:val="0"/>
        <w:bidi w:val="0"/>
        <w:snapToGrid/>
        <w:spacing w:line="460" w:lineRule="exact"/>
        <w:ind w:firstLine="560" w:firstLineChars="200"/>
        <w:textAlignment w:val="auto"/>
        <w:rPr>
          <w:rFonts w:hint="eastAsia" w:ascii="楷体" w:hAnsi="楷体" w:eastAsia="楷体" w:cs="楷体"/>
          <w:sz w:val="28"/>
          <w:szCs w:val="28"/>
        </w:rPr>
      </w:pPr>
    </w:p>
    <w:p w14:paraId="47048DD1">
      <w:pPr>
        <w:keepNext w:val="0"/>
        <w:keepLines w:val="0"/>
        <w:pageBreakBefore w:val="0"/>
        <w:widowControl w:val="0"/>
        <w:kinsoku/>
        <w:wordWrap/>
        <w:overflowPunct/>
        <w:topLinePunct w:val="0"/>
        <w:bidi w:val="0"/>
        <w:snapToGrid/>
        <w:spacing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根据《中华人民共和国民法典》及其他有关法律、法规，遵循平等、自愿、公平和诚实信用的原则，甲、乙双方就</w:t>
      </w:r>
      <w:r>
        <w:rPr>
          <w:rFonts w:hint="eastAsia" w:ascii="楷体" w:hAnsi="楷体" w:eastAsia="楷体" w:cs="楷体"/>
          <w:sz w:val="28"/>
          <w:szCs w:val="28"/>
          <w:u w:val="single"/>
        </w:rPr>
        <w:t xml:space="preserve"> 东莞市新东欣环保投资有限公司废水车间蒸发器清洗服务项目事</w:t>
      </w:r>
      <w:r>
        <w:rPr>
          <w:rFonts w:hint="eastAsia" w:ascii="楷体" w:hAnsi="楷体" w:eastAsia="楷体" w:cs="楷体"/>
          <w:sz w:val="28"/>
          <w:szCs w:val="28"/>
        </w:rPr>
        <w:t>宜协商一致，特订立本合同，由甲、乙双方共同遵守履行。</w:t>
      </w:r>
    </w:p>
    <w:p w14:paraId="7A8DFD25">
      <w:pPr>
        <w:keepNext w:val="0"/>
        <w:keepLines w:val="0"/>
        <w:pageBreakBefore w:val="0"/>
        <w:widowControl w:val="0"/>
        <w:kinsoku/>
        <w:wordWrap/>
        <w:overflowPunct/>
        <w:topLinePunct w:val="0"/>
        <w:bidi w:val="0"/>
        <w:snapToGrid/>
        <w:spacing w:line="460" w:lineRule="exact"/>
        <w:ind w:firstLine="560" w:firstLineChars="200"/>
        <w:textAlignment w:val="auto"/>
        <w:rPr>
          <w:rFonts w:hint="eastAsia" w:ascii="楷体" w:hAnsi="楷体" w:eastAsia="楷体" w:cs="楷体"/>
          <w:b/>
          <w:sz w:val="28"/>
          <w:szCs w:val="28"/>
        </w:rPr>
      </w:pPr>
      <w:r>
        <w:rPr>
          <w:rFonts w:hint="eastAsia" w:ascii="楷体" w:hAnsi="楷体" w:eastAsia="楷体" w:cs="楷体"/>
          <w:b/>
          <w:sz w:val="28"/>
          <w:szCs w:val="28"/>
        </w:rPr>
        <w:t>第一条</w:t>
      </w:r>
      <w:r>
        <w:rPr>
          <w:rFonts w:hint="eastAsia" w:ascii="楷体" w:hAnsi="楷体" w:eastAsia="楷体" w:cs="楷体"/>
          <w:b/>
          <w:sz w:val="28"/>
          <w:szCs w:val="28"/>
          <w:lang w:val="en-US" w:eastAsia="zh-CN"/>
        </w:rPr>
        <w:t xml:space="preserve"> </w:t>
      </w:r>
      <w:r>
        <w:rPr>
          <w:rFonts w:hint="eastAsia" w:ascii="楷体" w:hAnsi="楷体" w:eastAsia="楷体" w:cs="楷体"/>
          <w:b/>
          <w:sz w:val="28"/>
          <w:szCs w:val="28"/>
        </w:rPr>
        <w:t xml:space="preserve"> 甲方委托乙方进行技术服务内容如下：</w:t>
      </w:r>
    </w:p>
    <w:p w14:paraId="204D684F">
      <w:pPr>
        <w:pStyle w:val="21"/>
        <w:keepNext w:val="0"/>
        <w:keepLines w:val="0"/>
        <w:pageBreakBefore w:val="0"/>
        <w:widowControl w:val="0"/>
        <w:kinsoku/>
        <w:wordWrap/>
        <w:overflowPunct/>
        <w:topLinePunct w:val="0"/>
        <w:bidi w:val="0"/>
        <w:snapToGrid/>
        <w:spacing w:line="460" w:lineRule="exact"/>
        <w:ind w:firstLine="560" w:firstLineChars="200"/>
        <w:jc w:val="both"/>
        <w:textAlignment w:val="auto"/>
        <w:rPr>
          <w:rFonts w:hint="eastAsia" w:ascii="楷体" w:hAnsi="楷体" w:eastAsia="楷体" w:cs="楷体"/>
          <w:b w:val="0"/>
          <w:bCs w:val="0"/>
          <w:kern w:val="2"/>
          <w:sz w:val="28"/>
          <w:szCs w:val="28"/>
          <w:lang w:val="en-US" w:eastAsia="zh-CN"/>
        </w:rPr>
      </w:pPr>
      <w:r>
        <w:rPr>
          <w:rFonts w:hint="eastAsia" w:ascii="楷体" w:hAnsi="楷体" w:eastAsia="楷体" w:cs="楷体"/>
          <w:b w:val="0"/>
          <w:bCs w:val="0"/>
          <w:kern w:val="2"/>
          <w:sz w:val="28"/>
          <w:szCs w:val="28"/>
          <w:lang w:val="en-US" w:eastAsia="zh-CN"/>
        </w:rPr>
        <w:t>合同期内，乙方根据甲方通知要求完成三效蒸发系统清洗工作，现场共有3套三效蒸发系统，每套三效蒸发系统包括3台加热器、3台分离器和4台预热器，具体内容包括：</w:t>
      </w:r>
    </w:p>
    <w:tbl>
      <w:tblPr>
        <w:tblStyle w:val="14"/>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77"/>
        <w:gridCol w:w="1319"/>
        <w:gridCol w:w="823"/>
        <w:gridCol w:w="2763"/>
        <w:gridCol w:w="1408"/>
        <w:gridCol w:w="2123"/>
      </w:tblGrid>
      <w:tr w14:paraId="3BC955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B572FD">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序号</w:t>
            </w:r>
          </w:p>
        </w:tc>
        <w:tc>
          <w:tcPr>
            <w:tcW w:w="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2010CE">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作业位置</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EE3EB1">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数量</w:t>
            </w:r>
          </w:p>
        </w:tc>
        <w:tc>
          <w:tcPr>
            <w:tcW w:w="15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2265E0">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内容/范围</w:t>
            </w:r>
          </w:p>
        </w:tc>
        <w:tc>
          <w:tcPr>
            <w:tcW w:w="7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01BC9D">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作业内容</w:t>
            </w:r>
          </w:p>
        </w:tc>
        <w:tc>
          <w:tcPr>
            <w:tcW w:w="11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9912BB">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说明</w:t>
            </w:r>
          </w:p>
        </w:tc>
      </w:tr>
      <w:tr w14:paraId="72CC8A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3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576238">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1</w:t>
            </w:r>
          </w:p>
        </w:tc>
        <w:tc>
          <w:tcPr>
            <w:tcW w:w="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AF1347">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加热器</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16CDE8">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9台</w:t>
            </w:r>
          </w:p>
        </w:tc>
        <w:tc>
          <w:tcPr>
            <w:tcW w:w="15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CEC4ED">
            <w:pPr>
              <w:keepNext w:val="0"/>
              <w:keepLines w:val="0"/>
              <w:widowControl/>
              <w:suppressLineNumbers w:val="0"/>
              <w:jc w:val="both"/>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单个加热器415根列管，直径32mm，长度6m</w:t>
            </w:r>
          </w:p>
        </w:tc>
        <w:tc>
          <w:tcPr>
            <w:tcW w:w="7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EEB620">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通堵&amp;清洗</w:t>
            </w:r>
          </w:p>
        </w:tc>
        <w:tc>
          <w:tcPr>
            <w:tcW w:w="116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494FA9">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把列管或管路上附着的盐垢清理完成，可看见列管或管道内部原有金属颜色</w:t>
            </w:r>
          </w:p>
        </w:tc>
      </w:tr>
      <w:tr w14:paraId="1A1319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3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5E955A">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2</w:t>
            </w:r>
          </w:p>
        </w:tc>
        <w:tc>
          <w:tcPr>
            <w:tcW w:w="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F84676">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分离器</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F94419">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9台</w:t>
            </w:r>
          </w:p>
        </w:tc>
        <w:tc>
          <w:tcPr>
            <w:tcW w:w="15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673939">
            <w:pPr>
              <w:keepNext w:val="0"/>
              <w:keepLines w:val="0"/>
              <w:widowControl/>
              <w:suppressLineNumbers w:val="0"/>
              <w:jc w:val="both"/>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一效：Ø1400*6*5000mm</w:t>
            </w:r>
            <w:r>
              <w:rPr>
                <w:rFonts w:hint="eastAsia" w:ascii="楷体" w:hAnsi="楷体" w:eastAsia="楷体" w:cs="楷体"/>
                <w:i w:val="0"/>
                <w:iCs w:val="0"/>
                <w:color w:val="000000"/>
                <w:kern w:val="0"/>
                <w:sz w:val="22"/>
                <w:szCs w:val="22"/>
                <w:u w:val="none"/>
                <w:lang w:val="en-US" w:eastAsia="zh-CN" w:bidi="ar"/>
              </w:rPr>
              <w:br w:type="textWrapping"/>
            </w:r>
            <w:r>
              <w:rPr>
                <w:rFonts w:hint="eastAsia" w:ascii="楷体" w:hAnsi="楷体" w:eastAsia="楷体" w:cs="楷体"/>
                <w:i w:val="0"/>
                <w:iCs w:val="0"/>
                <w:color w:val="000000"/>
                <w:kern w:val="0"/>
                <w:sz w:val="22"/>
                <w:szCs w:val="22"/>
                <w:u w:val="none"/>
                <w:lang w:val="en-US" w:eastAsia="zh-CN" w:bidi="ar"/>
              </w:rPr>
              <w:t>二效：Ø1800*6*5000mm</w:t>
            </w:r>
            <w:r>
              <w:rPr>
                <w:rFonts w:hint="eastAsia" w:ascii="楷体" w:hAnsi="楷体" w:eastAsia="楷体" w:cs="楷体"/>
                <w:i w:val="0"/>
                <w:iCs w:val="0"/>
                <w:color w:val="000000"/>
                <w:kern w:val="0"/>
                <w:sz w:val="22"/>
                <w:szCs w:val="22"/>
                <w:u w:val="none"/>
                <w:lang w:val="en-US" w:eastAsia="zh-CN" w:bidi="ar"/>
              </w:rPr>
              <w:br w:type="textWrapping"/>
            </w:r>
            <w:r>
              <w:rPr>
                <w:rFonts w:hint="eastAsia" w:ascii="楷体" w:hAnsi="楷体" w:eastAsia="楷体" w:cs="楷体"/>
                <w:i w:val="0"/>
                <w:iCs w:val="0"/>
                <w:color w:val="000000"/>
                <w:kern w:val="0"/>
                <w:sz w:val="22"/>
                <w:szCs w:val="22"/>
                <w:u w:val="none"/>
                <w:lang w:val="en-US" w:eastAsia="zh-CN" w:bidi="ar"/>
              </w:rPr>
              <w:t>三效：Ø2200*8*5000mm</w:t>
            </w:r>
          </w:p>
        </w:tc>
        <w:tc>
          <w:tcPr>
            <w:tcW w:w="7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107E57">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清洗</w:t>
            </w:r>
          </w:p>
        </w:tc>
        <w:tc>
          <w:tcPr>
            <w:tcW w:w="11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113D42">
            <w:pPr>
              <w:jc w:val="center"/>
              <w:rPr>
                <w:rFonts w:hint="eastAsia" w:ascii="楷体" w:hAnsi="楷体" w:eastAsia="楷体" w:cs="楷体"/>
                <w:i w:val="0"/>
                <w:iCs w:val="0"/>
                <w:color w:val="000000"/>
                <w:sz w:val="22"/>
                <w:szCs w:val="22"/>
                <w:u w:val="none"/>
              </w:rPr>
            </w:pPr>
          </w:p>
        </w:tc>
      </w:tr>
      <w:tr w14:paraId="0CED1F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2BB2E6">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3</w:t>
            </w:r>
          </w:p>
        </w:tc>
        <w:tc>
          <w:tcPr>
            <w:tcW w:w="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5A86F3">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预热器</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D08D36">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12台</w:t>
            </w:r>
          </w:p>
        </w:tc>
        <w:tc>
          <w:tcPr>
            <w:tcW w:w="15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A52B93">
            <w:pPr>
              <w:keepNext w:val="0"/>
              <w:keepLines w:val="0"/>
              <w:widowControl/>
              <w:suppressLineNumbers w:val="0"/>
              <w:jc w:val="both"/>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单个预热器85根列管，直径32mm，长度6m</w:t>
            </w:r>
          </w:p>
        </w:tc>
        <w:tc>
          <w:tcPr>
            <w:tcW w:w="7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086396">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通堵&amp;清洗</w:t>
            </w:r>
          </w:p>
        </w:tc>
        <w:tc>
          <w:tcPr>
            <w:tcW w:w="11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E8710F">
            <w:pPr>
              <w:jc w:val="center"/>
              <w:rPr>
                <w:rFonts w:hint="eastAsia" w:ascii="楷体" w:hAnsi="楷体" w:eastAsia="楷体" w:cs="楷体"/>
                <w:i w:val="0"/>
                <w:iCs w:val="0"/>
                <w:color w:val="000000"/>
                <w:sz w:val="22"/>
                <w:szCs w:val="22"/>
                <w:u w:val="none"/>
              </w:rPr>
            </w:pPr>
          </w:p>
        </w:tc>
      </w:tr>
    </w:tbl>
    <w:p w14:paraId="1D6A6B8B">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b/>
          <w:sz w:val="28"/>
          <w:szCs w:val="28"/>
        </w:rPr>
      </w:pPr>
      <w:r>
        <w:rPr>
          <w:rFonts w:hint="eastAsia" w:ascii="楷体" w:hAnsi="楷体" w:eastAsia="楷体" w:cs="楷体"/>
          <w:b/>
          <w:sz w:val="28"/>
          <w:szCs w:val="28"/>
        </w:rPr>
        <w:t xml:space="preserve">第二条 </w:t>
      </w:r>
      <w:r>
        <w:rPr>
          <w:rFonts w:hint="eastAsia" w:ascii="楷体" w:hAnsi="楷体" w:eastAsia="楷体" w:cs="楷体"/>
          <w:b/>
          <w:sz w:val="28"/>
          <w:szCs w:val="28"/>
          <w:lang w:val="en-US" w:eastAsia="zh-CN"/>
        </w:rPr>
        <w:t xml:space="preserve"> </w:t>
      </w:r>
      <w:r>
        <w:rPr>
          <w:rFonts w:hint="eastAsia" w:ascii="楷体" w:hAnsi="楷体" w:eastAsia="楷体" w:cs="楷体"/>
          <w:b/>
          <w:sz w:val="28"/>
          <w:szCs w:val="28"/>
        </w:rPr>
        <w:t>乙方应当按下列要求完成技术服务工作</w:t>
      </w:r>
    </w:p>
    <w:p w14:paraId="497A2F72">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lang w:eastAsia="zh-CN"/>
        </w:rPr>
        <w:t>（</w:t>
      </w:r>
      <w:r>
        <w:rPr>
          <w:rFonts w:hint="eastAsia" w:ascii="楷体" w:hAnsi="楷体" w:eastAsia="楷体" w:cs="楷体"/>
          <w:sz w:val="28"/>
          <w:szCs w:val="28"/>
          <w:lang w:val="en-US" w:eastAsia="zh-CN"/>
        </w:rPr>
        <w:t>一</w:t>
      </w:r>
      <w:r>
        <w:rPr>
          <w:rFonts w:hint="eastAsia" w:ascii="楷体" w:hAnsi="楷体" w:eastAsia="楷体" w:cs="楷体"/>
          <w:sz w:val="28"/>
          <w:szCs w:val="28"/>
          <w:lang w:eastAsia="zh-CN"/>
        </w:rPr>
        <w:t>）</w:t>
      </w:r>
      <w:r>
        <w:rPr>
          <w:rFonts w:hint="eastAsia" w:ascii="楷体" w:hAnsi="楷体" w:eastAsia="楷体" w:cs="楷体"/>
          <w:sz w:val="28"/>
          <w:szCs w:val="28"/>
        </w:rPr>
        <w:t>服务地点：</w:t>
      </w:r>
      <w:r>
        <w:rPr>
          <w:rFonts w:hint="eastAsia" w:ascii="楷体" w:hAnsi="楷体" w:eastAsia="楷体" w:cs="楷体"/>
          <w:sz w:val="28"/>
          <w:szCs w:val="28"/>
          <w:u w:val="single"/>
        </w:rPr>
        <w:t xml:space="preserve">东莞市新东欣环保投资有限公司 </w:t>
      </w:r>
      <w:r>
        <w:rPr>
          <w:rFonts w:hint="eastAsia" w:ascii="楷体" w:hAnsi="楷体" w:eastAsia="楷体" w:cs="楷体"/>
          <w:sz w:val="28"/>
          <w:szCs w:val="28"/>
        </w:rPr>
        <w:t>。</w:t>
      </w:r>
    </w:p>
    <w:p w14:paraId="4A238AF2">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lang w:eastAsia="zh-CN"/>
        </w:rPr>
        <w:t>（</w:t>
      </w:r>
      <w:r>
        <w:rPr>
          <w:rFonts w:hint="eastAsia" w:ascii="楷体" w:hAnsi="楷体" w:eastAsia="楷体" w:cs="楷体"/>
          <w:sz w:val="28"/>
          <w:szCs w:val="28"/>
          <w:lang w:val="en-US" w:eastAsia="zh-CN"/>
        </w:rPr>
        <w:t>二</w:t>
      </w:r>
      <w:r>
        <w:rPr>
          <w:rFonts w:hint="eastAsia" w:ascii="楷体" w:hAnsi="楷体" w:eastAsia="楷体" w:cs="楷体"/>
          <w:sz w:val="28"/>
          <w:szCs w:val="28"/>
          <w:lang w:eastAsia="zh-CN"/>
        </w:rPr>
        <w:t>）</w:t>
      </w:r>
      <w:r>
        <w:rPr>
          <w:rFonts w:hint="eastAsia" w:ascii="楷体" w:hAnsi="楷体" w:eastAsia="楷体" w:cs="楷体"/>
          <w:sz w:val="28"/>
          <w:szCs w:val="28"/>
        </w:rPr>
        <w:t>服务期限：</w:t>
      </w:r>
      <w:r>
        <w:rPr>
          <w:rFonts w:hint="eastAsia" w:ascii="楷体" w:hAnsi="楷体" w:eastAsia="楷体" w:cs="楷体"/>
          <w:sz w:val="28"/>
          <w:szCs w:val="28"/>
          <w:u w:val="single"/>
        </w:rPr>
        <w:t>合同期为1年，自合同签订之日起，</w:t>
      </w:r>
      <w:r>
        <w:rPr>
          <w:rFonts w:hint="eastAsia" w:ascii="楷体" w:hAnsi="楷体" w:eastAsia="楷体" w:cs="楷体"/>
          <w:sz w:val="28"/>
          <w:szCs w:val="28"/>
          <w:u w:val="single"/>
          <w:lang w:eastAsia="zh-CN"/>
        </w:rPr>
        <w:t>乙方</w:t>
      </w:r>
      <w:r>
        <w:rPr>
          <w:rFonts w:hint="eastAsia" w:ascii="楷体" w:hAnsi="楷体" w:eastAsia="楷体" w:cs="楷体"/>
          <w:sz w:val="28"/>
          <w:szCs w:val="28"/>
          <w:u w:val="single"/>
        </w:rPr>
        <w:t>根据</w:t>
      </w:r>
      <w:r>
        <w:rPr>
          <w:rFonts w:hint="eastAsia" w:ascii="楷体" w:hAnsi="楷体" w:eastAsia="楷体" w:cs="楷体"/>
          <w:sz w:val="28"/>
          <w:szCs w:val="28"/>
          <w:u w:val="single"/>
          <w:lang w:eastAsia="zh-CN"/>
        </w:rPr>
        <w:t>甲方</w:t>
      </w:r>
      <w:r>
        <w:rPr>
          <w:rFonts w:hint="eastAsia" w:ascii="楷体" w:hAnsi="楷体" w:eastAsia="楷体" w:cs="楷体"/>
          <w:sz w:val="28"/>
          <w:szCs w:val="28"/>
          <w:u w:val="single"/>
        </w:rPr>
        <w:t>进场通知之日起约定时间内完成设备的清洗并通过验收，其中：加热器设备2个日历日，预热器设备1天，分离器设备1天；如设备堵塞严重的，经</w:t>
      </w:r>
      <w:r>
        <w:rPr>
          <w:rFonts w:hint="eastAsia" w:ascii="楷体" w:hAnsi="楷体" w:eastAsia="楷体" w:cs="楷体"/>
          <w:sz w:val="28"/>
          <w:szCs w:val="28"/>
          <w:u w:val="single"/>
          <w:lang w:eastAsia="zh-CN"/>
        </w:rPr>
        <w:t>甲方</w:t>
      </w:r>
      <w:r>
        <w:rPr>
          <w:rFonts w:hint="eastAsia" w:ascii="楷体" w:hAnsi="楷体" w:eastAsia="楷体" w:cs="楷体"/>
          <w:sz w:val="28"/>
          <w:szCs w:val="28"/>
          <w:u w:val="single"/>
        </w:rPr>
        <w:t>确定且同意后可延长工期2天，但费用不做调整</w:t>
      </w:r>
    </w:p>
    <w:p w14:paraId="3B874A05">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（三）服务要求</w:t>
      </w:r>
    </w:p>
    <w:p w14:paraId="2D72CBAA">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1、用材用具要求</w:t>
      </w:r>
    </w:p>
    <w:p w14:paraId="167FE7E1">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甲方提供：临时用电接口、临时用水、供气，出渣出水收集装置及吨袋由甲方提供设备并协助；受限空间作业甲方提供轴流风机、低压照明灯具。</w:t>
      </w:r>
    </w:p>
    <w:p w14:paraId="770202AF">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乙方提供：清洗所需工器具（包括但不限于清洗专用设备等）、劳动防护用品（以满足现场安全管理要求为准）等。</w:t>
      </w:r>
    </w:p>
    <w:p w14:paraId="6D320E85">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2、服务要求</w:t>
      </w:r>
    </w:p>
    <w:p w14:paraId="21FCC269">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①乙方在服务前提供施工方案、企业行业资质证、作业资格证（如高压水射流清洗工证）到甲方进行报备审核，未经甲方批准或作业人员无相关资质禁止作业；乙方所派出的施工管理人员有类似项目的施工管理经验，并在服务过程中自行安排专门的作业监护人员。</w:t>
      </w:r>
    </w:p>
    <w:p w14:paraId="19E8D09D">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②服务过程中不得损伤蒸发器表面、管道、仪表、阀门和设备等原有设施；如遇特殊情况需要拆卸原有设施作业的，作业前必须征得甲方现场管理人员同意。</w:t>
      </w:r>
    </w:p>
    <w:p w14:paraId="28900FD0">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③通堵及清洗工作，必须用围挡把作业区域封闭，避免高压水意外喷射至工作区域外产生的安全风险，高压清洗车应用警戒带封闭，禁止无关人员靠近。</w:t>
      </w:r>
    </w:p>
    <w:p w14:paraId="51FFB985">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④现场施工完成后乙方及时清理施工区域卫生。</w:t>
      </w:r>
    </w:p>
    <w:p w14:paraId="0F9A941B">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3、安全要求</w:t>
      </w:r>
    </w:p>
    <w:p w14:paraId="1DF5980C">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①乙方必须签订安全管理协议，进场前对作业人员进行三级安全教育，必须严格遵守国家和地方相关法律法规及甲方相关规定，作业期间接受甲方的监管并参与甲方组织的安全培训。</w:t>
      </w:r>
    </w:p>
    <w:p w14:paraId="5EA078AB">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②作业前必须严格按照国家关于特种作业的相关规定安排持证人员在进行报备和开展必要的安全准备后，在甲方代表和乙方委派的安全员监督下开展作业，确保作业安全有效；同时作业期间所需的工具、设备、劳保用品（安全帽、劳保服等）等由乙方自备。</w:t>
      </w:r>
    </w:p>
    <w:p w14:paraId="5137AD95">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③乙方必须响应甲方要求成立项目组，项目组必须专业配备齐全，具备丰富经验，项目负责人在项目实施过程中未经甲方同意不得更改。委派的作业人员必须具有丰富的作业经验且身体健康，不合格者不允许参与作业；同时，乙方需为作业人员购买100万的意外保险。</w:t>
      </w:r>
    </w:p>
    <w:p w14:paraId="573402F6">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④在作业期间乙方必须配备专职安全员，安全员必须熟悉危化品的理化性质和具有必要的现场急救技能，并负责审核作业安全票证、监督作业前人员劳保设备佩戴情况，做好现场风险评估等；作业过程中，安全员不得擅自离岗，特殊情况需要离开时应及时向作业人员通报，并指定其他具有监护资格的员工接替，如找不到接替人，必须停止作业。</w:t>
      </w:r>
    </w:p>
    <w:p w14:paraId="69873FD9">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b/>
          <w:sz w:val="28"/>
          <w:szCs w:val="28"/>
        </w:rPr>
      </w:pPr>
      <w:r>
        <w:rPr>
          <w:rFonts w:hint="eastAsia" w:ascii="楷体" w:hAnsi="楷体" w:eastAsia="楷体" w:cs="楷体"/>
          <w:b/>
          <w:sz w:val="28"/>
          <w:szCs w:val="28"/>
        </w:rPr>
        <w:t>第三条 双方确定以下标准和方式对乙方提交的技术服务工作成果进行验收</w:t>
      </w:r>
    </w:p>
    <w:p w14:paraId="5E834FAC">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1.技术服务工作成果的验收标准： 设备内表面的上附着的盐垢清理干净，可看见管壁且不得打坏划伤金属表面。</w:t>
      </w:r>
    </w:p>
    <w:p w14:paraId="776CEA88">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u w:val="single"/>
        </w:rPr>
      </w:pPr>
      <w:r>
        <w:rPr>
          <w:rFonts w:hint="eastAsia" w:ascii="楷体" w:hAnsi="楷体" w:eastAsia="楷体" w:cs="楷体"/>
          <w:sz w:val="28"/>
          <w:szCs w:val="28"/>
          <w:lang w:val="en-US" w:eastAsia="zh-CN"/>
        </w:rPr>
        <w:t>2</w:t>
      </w:r>
      <w:r>
        <w:rPr>
          <w:rFonts w:hint="eastAsia" w:ascii="楷体" w:hAnsi="楷体" w:eastAsia="楷体" w:cs="楷体"/>
          <w:sz w:val="28"/>
          <w:szCs w:val="28"/>
        </w:rPr>
        <w:t>.技术服务工作验收的方法：</w:t>
      </w:r>
      <w:r>
        <w:rPr>
          <w:rFonts w:hint="eastAsia" w:ascii="楷体" w:hAnsi="楷体" w:eastAsia="楷体" w:cs="楷体"/>
          <w:sz w:val="28"/>
          <w:szCs w:val="28"/>
          <w:lang w:eastAsia="zh-CN"/>
        </w:rPr>
        <w:t>甲方</w:t>
      </w:r>
      <w:r>
        <w:rPr>
          <w:rFonts w:hint="eastAsia" w:ascii="楷体" w:hAnsi="楷体" w:eastAsia="楷体" w:cs="楷体"/>
          <w:sz w:val="28"/>
          <w:szCs w:val="28"/>
        </w:rPr>
        <w:t>在</w:t>
      </w:r>
      <w:r>
        <w:rPr>
          <w:rFonts w:hint="eastAsia" w:ascii="楷体" w:hAnsi="楷体" w:eastAsia="楷体" w:cs="楷体"/>
          <w:sz w:val="28"/>
          <w:szCs w:val="28"/>
          <w:lang w:eastAsia="zh-CN"/>
        </w:rPr>
        <w:t>乙方</w:t>
      </w:r>
      <w:r>
        <w:rPr>
          <w:rFonts w:hint="eastAsia" w:ascii="楷体" w:hAnsi="楷体" w:eastAsia="楷体" w:cs="楷体"/>
          <w:sz w:val="28"/>
          <w:szCs w:val="28"/>
        </w:rPr>
        <w:t>完成当次清洗服务后按验收标准组织验收，对于无法通过的，</w:t>
      </w:r>
      <w:r>
        <w:rPr>
          <w:rFonts w:hint="eastAsia" w:ascii="楷体" w:hAnsi="楷体" w:eastAsia="楷体" w:cs="楷体"/>
          <w:sz w:val="28"/>
          <w:szCs w:val="28"/>
          <w:lang w:eastAsia="zh-CN"/>
        </w:rPr>
        <w:t>乙方</w:t>
      </w:r>
      <w:r>
        <w:rPr>
          <w:rFonts w:hint="eastAsia" w:ascii="楷体" w:hAnsi="楷体" w:eastAsia="楷体" w:cs="楷体"/>
          <w:sz w:val="28"/>
          <w:szCs w:val="28"/>
        </w:rPr>
        <w:t>需无条件整改，直至通过</w:t>
      </w:r>
      <w:r>
        <w:rPr>
          <w:rFonts w:hint="eastAsia" w:ascii="楷体" w:hAnsi="楷体" w:eastAsia="楷体" w:cs="楷体"/>
          <w:sz w:val="28"/>
          <w:szCs w:val="28"/>
          <w:lang w:eastAsia="zh-CN"/>
        </w:rPr>
        <w:t>甲方</w:t>
      </w:r>
      <w:r>
        <w:rPr>
          <w:rFonts w:hint="eastAsia" w:ascii="楷体" w:hAnsi="楷体" w:eastAsia="楷体" w:cs="楷体"/>
          <w:sz w:val="28"/>
          <w:szCs w:val="28"/>
        </w:rPr>
        <w:t>验收。</w:t>
      </w:r>
    </w:p>
    <w:p w14:paraId="47583218">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b/>
          <w:sz w:val="28"/>
          <w:szCs w:val="28"/>
        </w:rPr>
      </w:pPr>
      <w:r>
        <w:rPr>
          <w:rFonts w:hint="eastAsia" w:ascii="楷体" w:hAnsi="楷体" w:eastAsia="楷体" w:cs="楷体"/>
          <w:b/>
          <w:sz w:val="28"/>
          <w:szCs w:val="28"/>
        </w:rPr>
        <w:t>第四条 甲方的权利和义务</w:t>
      </w:r>
    </w:p>
    <w:p w14:paraId="0C97D78B">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u w:val="none"/>
        </w:rPr>
      </w:pPr>
      <w:r>
        <w:rPr>
          <w:rFonts w:hint="eastAsia" w:ascii="楷体" w:hAnsi="楷体" w:eastAsia="楷体" w:cs="楷体"/>
          <w:sz w:val="28"/>
          <w:szCs w:val="28"/>
        </w:rPr>
        <w:t>1.提供</w:t>
      </w:r>
      <w:r>
        <w:rPr>
          <w:rFonts w:hint="eastAsia" w:ascii="楷体" w:hAnsi="楷体" w:eastAsia="楷体" w:cs="楷体"/>
          <w:sz w:val="28"/>
          <w:szCs w:val="28"/>
          <w:u w:val="none"/>
        </w:rPr>
        <w:t xml:space="preserve"> 临时用电接口、临时用水、供气，出渣出水收集装置及吨袋由</w:t>
      </w:r>
      <w:r>
        <w:rPr>
          <w:rFonts w:hint="eastAsia" w:ascii="楷体" w:hAnsi="楷体" w:eastAsia="楷体" w:cs="楷体"/>
          <w:sz w:val="28"/>
          <w:szCs w:val="28"/>
          <w:u w:val="none"/>
          <w:lang w:eastAsia="zh-CN"/>
        </w:rPr>
        <w:t>甲方</w:t>
      </w:r>
      <w:r>
        <w:rPr>
          <w:rFonts w:hint="eastAsia" w:ascii="楷体" w:hAnsi="楷体" w:eastAsia="楷体" w:cs="楷体"/>
          <w:sz w:val="28"/>
          <w:szCs w:val="28"/>
          <w:u w:val="none"/>
        </w:rPr>
        <w:t>提供设备并协助；受限空间作业</w:t>
      </w:r>
      <w:r>
        <w:rPr>
          <w:rFonts w:hint="eastAsia" w:ascii="楷体" w:hAnsi="楷体" w:eastAsia="楷体" w:cs="楷体"/>
          <w:sz w:val="28"/>
          <w:szCs w:val="28"/>
          <w:u w:val="none"/>
          <w:lang w:eastAsia="zh-CN"/>
        </w:rPr>
        <w:t>甲方</w:t>
      </w:r>
      <w:r>
        <w:rPr>
          <w:rFonts w:hint="eastAsia" w:ascii="楷体" w:hAnsi="楷体" w:eastAsia="楷体" w:cs="楷体"/>
          <w:sz w:val="28"/>
          <w:szCs w:val="28"/>
          <w:u w:val="none"/>
        </w:rPr>
        <w:t>提供轴流风机、低压照明灯具。</w:t>
      </w:r>
    </w:p>
    <w:p w14:paraId="5CC86CB5">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2.按期验收乙方的技术服务成果，并按合同约定支付报酬。</w:t>
      </w:r>
    </w:p>
    <w:p w14:paraId="6D0408BC">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b/>
          <w:sz w:val="28"/>
          <w:szCs w:val="28"/>
        </w:rPr>
      </w:pPr>
      <w:r>
        <w:rPr>
          <w:rFonts w:hint="eastAsia" w:ascii="楷体" w:hAnsi="楷体" w:eastAsia="楷体" w:cs="楷体"/>
          <w:sz w:val="28"/>
          <w:szCs w:val="28"/>
        </w:rPr>
        <w:t>3.如乙方须到甲方项目现场进行</w:t>
      </w:r>
      <w:r>
        <w:rPr>
          <w:rFonts w:hint="eastAsia" w:ascii="楷体" w:hAnsi="楷体" w:eastAsia="楷体" w:cs="楷体"/>
          <w:sz w:val="28"/>
          <w:szCs w:val="28"/>
          <w:lang w:val="en-US" w:eastAsia="zh-CN"/>
        </w:rPr>
        <w:t>踏勘</w:t>
      </w:r>
      <w:r>
        <w:rPr>
          <w:rFonts w:hint="eastAsia" w:ascii="楷体" w:hAnsi="楷体" w:eastAsia="楷体" w:cs="楷体"/>
          <w:sz w:val="28"/>
          <w:szCs w:val="28"/>
        </w:rPr>
        <w:t>等，乙方自负费用，但甲方应为乙方提供必要的工作条件。</w:t>
      </w:r>
    </w:p>
    <w:p w14:paraId="2E892A5E">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b/>
          <w:sz w:val="28"/>
          <w:szCs w:val="28"/>
        </w:rPr>
      </w:pPr>
      <w:r>
        <w:rPr>
          <w:rFonts w:hint="eastAsia" w:ascii="楷体" w:hAnsi="楷体" w:eastAsia="楷体" w:cs="楷体"/>
          <w:b/>
          <w:sz w:val="28"/>
          <w:szCs w:val="28"/>
        </w:rPr>
        <w:t>第五条 乙方的权利和义务</w:t>
      </w:r>
    </w:p>
    <w:p w14:paraId="68878FDA">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1.按照合同约定的期限完成服务内容。</w:t>
      </w:r>
    </w:p>
    <w:p w14:paraId="0B6701F9">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2.</w:t>
      </w:r>
      <w:r>
        <w:rPr>
          <w:rFonts w:hint="eastAsia" w:ascii="楷体" w:hAnsi="楷体" w:eastAsia="楷体" w:cs="楷体"/>
          <w:sz w:val="28"/>
          <w:szCs w:val="28"/>
          <w:lang w:val="en-US" w:eastAsia="zh-CN"/>
        </w:rPr>
        <w:t>按合同开展服务并</w:t>
      </w:r>
      <w:r>
        <w:rPr>
          <w:rFonts w:hint="eastAsia" w:ascii="楷体" w:hAnsi="楷体" w:eastAsia="楷体" w:cs="楷体"/>
          <w:sz w:val="28"/>
          <w:szCs w:val="28"/>
        </w:rPr>
        <w:t>保障技术服务成果达到技术服务条件验收</w:t>
      </w:r>
      <w:r>
        <w:rPr>
          <w:rFonts w:hint="eastAsia" w:ascii="楷体" w:hAnsi="楷体" w:eastAsia="楷体" w:cs="楷体"/>
          <w:sz w:val="28"/>
          <w:szCs w:val="28"/>
          <w:lang w:val="en-US" w:eastAsia="zh-CN"/>
        </w:rPr>
        <w:t>标准要求</w:t>
      </w:r>
      <w:r>
        <w:rPr>
          <w:rFonts w:hint="eastAsia" w:ascii="楷体" w:hAnsi="楷体" w:eastAsia="楷体" w:cs="楷体"/>
          <w:sz w:val="28"/>
          <w:szCs w:val="28"/>
        </w:rPr>
        <w:t>。</w:t>
      </w:r>
    </w:p>
    <w:p w14:paraId="0A9BE9B1">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3.未经甲方书面同意，乙方不得将本项目分包或转包给本协议以外的第三方。</w:t>
      </w:r>
    </w:p>
    <w:p w14:paraId="67C459C3">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lang w:val="en-US" w:eastAsia="zh-CN"/>
        </w:rPr>
        <w:t>4</w:t>
      </w:r>
      <w:r>
        <w:rPr>
          <w:rFonts w:hint="eastAsia" w:ascii="楷体" w:hAnsi="楷体" w:eastAsia="楷体" w:cs="楷体"/>
          <w:sz w:val="28"/>
          <w:szCs w:val="28"/>
        </w:rPr>
        <w:t>.乙方保证遵守国家法律、法规和规章制度，确保</w:t>
      </w:r>
      <w:r>
        <w:rPr>
          <w:rFonts w:hint="eastAsia" w:ascii="楷体" w:hAnsi="楷体" w:eastAsia="楷体" w:cs="楷体"/>
          <w:sz w:val="28"/>
          <w:szCs w:val="28"/>
          <w:lang w:val="en-US" w:eastAsia="zh-CN"/>
        </w:rPr>
        <w:t>清洗</w:t>
      </w:r>
      <w:r>
        <w:rPr>
          <w:rFonts w:hint="eastAsia" w:ascii="楷体" w:hAnsi="楷体" w:eastAsia="楷体" w:cs="楷体"/>
          <w:sz w:val="28"/>
          <w:szCs w:val="28"/>
        </w:rPr>
        <w:t>工作符合国家标准、规范。</w:t>
      </w:r>
    </w:p>
    <w:p w14:paraId="4DD0E239">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b/>
          <w:sz w:val="28"/>
          <w:szCs w:val="28"/>
        </w:rPr>
      </w:pPr>
      <w:r>
        <w:rPr>
          <w:rFonts w:hint="eastAsia" w:ascii="楷体" w:hAnsi="楷体" w:eastAsia="楷体" w:cs="楷体"/>
          <w:b/>
          <w:sz w:val="28"/>
          <w:szCs w:val="28"/>
        </w:rPr>
        <w:t>第六条 资料保密</w:t>
      </w:r>
    </w:p>
    <w:p w14:paraId="6E42C2AD">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本合同签订之日起至乙方取得甲方书面同意止，乙方必须采取措施对本项目实施过程中的数据、技术文档、成果等资料保密，否则，乙方导致上述资料泄密的，乙方必须承担一切责任，乙方应向甲方支付违约金</w:t>
      </w:r>
      <w:r>
        <w:rPr>
          <w:rFonts w:hint="eastAsia" w:ascii="楷体" w:hAnsi="楷体" w:eastAsia="楷体" w:cs="楷体"/>
          <w:sz w:val="28"/>
          <w:szCs w:val="28"/>
          <w:u w:val="single"/>
          <w:lang w:val="en-US" w:eastAsia="zh-CN"/>
        </w:rPr>
        <w:t>5000</w:t>
      </w:r>
      <w:r>
        <w:rPr>
          <w:rFonts w:hint="eastAsia" w:ascii="楷体" w:hAnsi="楷体" w:eastAsia="楷体" w:cs="楷体"/>
          <w:sz w:val="28"/>
          <w:szCs w:val="28"/>
          <w:u w:val="single"/>
        </w:rPr>
        <w:t>元</w:t>
      </w:r>
      <w:r>
        <w:rPr>
          <w:rFonts w:hint="eastAsia" w:ascii="楷体" w:hAnsi="楷体" w:eastAsia="楷体" w:cs="楷体"/>
          <w:sz w:val="28"/>
          <w:szCs w:val="28"/>
        </w:rPr>
        <w:t>，且应当赔偿甲方的一切损失。本合同第六条约定，不因合同终止而免除乙方的保密责任，项目完成后，乙方仍有责任对本项目的技术保密承担责任。</w:t>
      </w:r>
    </w:p>
    <w:p w14:paraId="29F92159">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1.未经甲方事先书面同意，乙方不得将由甲方为本合同提供的条文、规格、计划、图纸、模型、样品或资料提供给与本合同无关的任何第三方，不得将其用于履行本合同之外的其它用途；未经甲方事先书面同意，乙方不得将在履行本合同中取得的数据、技术文档、成果等资料提供给与本合同无关的任何第三方。即使向与履行本合同有关的人员提供，也应注意保密并限于履行本合同所必需的范围。</w:t>
      </w:r>
    </w:p>
    <w:p w14:paraId="721AF850">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b/>
          <w:sz w:val="28"/>
          <w:szCs w:val="28"/>
        </w:rPr>
      </w:pPr>
      <w:r>
        <w:rPr>
          <w:rFonts w:hint="eastAsia" w:ascii="楷体" w:hAnsi="楷体" w:eastAsia="楷体" w:cs="楷体"/>
          <w:sz w:val="28"/>
          <w:szCs w:val="28"/>
        </w:rPr>
        <w:t>2.除了合同本身之外，上款所列举的任何物件均是甲方的财产。乙方应当在完成合同后将这些物件及全部复制件还给甲方，甲方同意由乙方持有的除外。</w:t>
      </w:r>
    </w:p>
    <w:p w14:paraId="50E352BC">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b/>
          <w:sz w:val="28"/>
          <w:szCs w:val="28"/>
        </w:rPr>
      </w:pPr>
      <w:r>
        <w:rPr>
          <w:rFonts w:hint="eastAsia" w:ascii="楷体" w:hAnsi="楷体" w:eastAsia="楷体" w:cs="楷体"/>
          <w:b/>
          <w:sz w:val="28"/>
          <w:szCs w:val="28"/>
        </w:rPr>
        <w:t>第七条 技术服务报酬及支付方式</w:t>
      </w:r>
    </w:p>
    <w:p w14:paraId="2D8461A7">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b/>
          <w:sz w:val="28"/>
          <w:szCs w:val="28"/>
        </w:rPr>
      </w:pPr>
      <w:r>
        <w:rPr>
          <w:rFonts w:hint="eastAsia" w:ascii="楷体" w:hAnsi="楷体" w:eastAsia="楷体" w:cs="楷体"/>
          <w:sz w:val="28"/>
          <w:szCs w:val="28"/>
        </w:rPr>
        <w:t>1.</w:t>
      </w:r>
      <w:r>
        <w:rPr>
          <w:rFonts w:hint="eastAsia" w:ascii="楷体" w:hAnsi="楷体" w:eastAsia="楷体" w:cs="楷体"/>
          <w:sz w:val="28"/>
          <w:szCs w:val="28"/>
          <w:lang w:val="en-US" w:eastAsia="zh-CN"/>
        </w:rPr>
        <w:t>本合同为固定单价合同，固定单价详见附件1报价清单，</w:t>
      </w:r>
      <w:r>
        <w:rPr>
          <w:rFonts w:hint="eastAsia" w:ascii="楷体" w:hAnsi="楷体" w:eastAsia="楷体" w:cs="楷体"/>
          <w:sz w:val="28"/>
          <w:szCs w:val="28"/>
        </w:rPr>
        <w:t>增值税税率为</w:t>
      </w:r>
      <w:r>
        <w:rPr>
          <w:rFonts w:hint="eastAsia" w:ascii="楷体" w:hAnsi="楷体" w:eastAsia="楷体" w:cs="楷体"/>
          <w:sz w:val="28"/>
          <w:szCs w:val="28"/>
          <w:u w:val="single"/>
        </w:rPr>
        <w:t xml:space="preserve">    %</w:t>
      </w:r>
      <w:r>
        <w:rPr>
          <w:rFonts w:hint="eastAsia" w:ascii="楷体" w:hAnsi="楷体" w:eastAsia="楷体" w:cs="楷体"/>
          <w:sz w:val="28"/>
          <w:szCs w:val="28"/>
        </w:rPr>
        <w:t>，如遇国家调整税率，不含税合同款不予调整，税金按调整后税率及相关细则执行。</w:t>
      </w:r>
    </w:p>
    <w:p w14:paraId="499735D7">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本</w:t>
      </w:r>
      <w:r>
        <w:rPr>
          <w:rFonts w:hint="eastAsia" w:ascii="楷体" w:hAnsi="楷体" w:eastAsia="楷体" w:cs="楷体"/>
          <w:sz w:val="28"/>
          <w:szCs w:val="28"/>
          <w:lang w:val="en-US" w:eastAsia="zh-CN"/>
        </w:rPr>
        <w:t>合同固定单价报价</w:t>
      </w:r>
      <w:r>
        <w:rPr>
          <w:rFonts w:hint="eastAsia" w:ascii="楷体" w:hAnsi="楷体" w:eastAsia="楷体" w:cs="楷体"/>
          <w:sz w:val="28"/>
          <w:szCs w:val="28"/>
        </w:rPr>
        <w:t>报价已包含设备器具费、人工费、服务费、差旅费</w:t>
      </w:r>
      <w:r>
        <w:rPr>
          <w:rFonts w:hint="eastAsia" w:ascii="楷体" w:hAnsi="楷体" w:eastAsia="楷体" w:cs="楷体"/>
          <w:sz w:val="28"/>
          <w:szCs w:val="28"/>
          <w:lang w:eastAsia="zh-CN"/>
        </w:rPr>
        <w:t>、</w:t>
      </w:r>
      <w:r>
        <w:rPr>
          <w:rFonts w:hint="eastAsia" w:ascii="楷体" w:hAnsi="楷体" w:eastAsia="楷体" w:cs="楷体"/>
          <w:sz w:val="28"/>
          <w:szCs w:val="28"/>
          <w:lang w:val="en-US" w:eastAsia="zh-CN"/>
        </w:rPr>
        <w:t>保险费</w:t>
      </w:r>
      <w:r>
        <w:rPr>
          <w:rFonts w:hint="eastAsia" w:ascii="楷体" w:hAnsi="楷体" w:eastAsia="楷体" w:cs="楷体"/>
          <w:sz w:val="28"/>
          <w:szCs w:val="28"/>
        </w:rPr>
        <w:t>和税费等一切为满足项目实施可能产生的费用，甲方不承担其他额外费用。各项子项目费用详见附件《报价清单》。</w:t>
      </w:r>
    </w:p>
    <w:p w14:paraId="16518924">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2.支付方式</w:t>
      </w:r>
    </w:p>
    <w:p w14:paraId="393653C5">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（1）按</w:t>
      </w:r>
      <w:r>
        <w:rPr>
          <w:rFonts w:hint="eastAsia" w:ascii="楷体" w:hAnsi="楷体" w:eastAsia="楷体" w:cs="楷体"/>
          <w:sz w:val="28"/>
          <w:szCs w:val="28"/>
          <w:lang w:val="en-US" w:eastAsia="zh-CN"/>
        </w:rPr>
        <w:t>次</w:t>
      </w:r>
      <w:r>
        <w:rPr>
          <w:rFonts w:hint="eastAsia" w:ascii="楷体" w:hAnsi="楷体" w:eastAsia="楷体" w:cs="楷体"/>
          <w:sz w:val="28"/>
          <w:szCs w:val="28"/>
        </w:rPr>
        <w:t>结算，</w:t>
      </w:r>
      <w:r>
        <w:rPr>
          <w:rFonts w:hint="eastAsia" w:ascii="楷体" w:hAnsi="楷体" w:eastAsia="楷体" w:cs="楷体"/>
          <w:sz w:val="28"/>
          <w:szCs w:val="28"/>
          <w:lang w:eastAsia="zh-CN"/>
        </w:rPr>
        <w:t>乙方</w:t>
      </w:r>
      <w:r>
        <w:rPr>
          <w:rFonts w:hint="eastAsia" w:ascii="楷体" w:hAnsi="楷体" w:eastAsia="楷体" w:cs="楷体"/>
          <w:sz w:val="28"/>
          <w:szCs w:val="28"/>
        </w:rPr>
        <w:t>按照</w:t>
      </w:r>
      <w:r>
        <w:rPr>
          <w:rFonts w:hint="eastAsia" w:ascii="楷体" w:hAnsi="楷体" w:eastAsia="楷体" w:cs="楷体"/>
          <w:sz w:val="28"/>
          <w:szCs w:val="28"/>
          <w:lang w:eastAsia="zh-CN"/>
        </w:rPr>
        <w:t>甲方</w:t>
      </w:r>
      <w:r>
        <w:rPr>
          <w:rFonts w:hint="eastAsia" w:ascii="楷体" w:hAnsi="楷体" w:eastAsia="楷体" w:cs="楷体"/>
          <w:sz w:val="28"/>
          <w:szCs w:val="28"/>
        </w:rPr>
        <w:t>通知要求完成当</w:t>
      </w:r>
      <w:r>
        <w:rPr>
          <w:rFonts w:hint="eastAsia" w:ascii="楷体" w:hAnsi="楷体" w:eastAsia="楷体" w:cs="楷体"/>
          <w:sz w:val="28"/>
          <w:szCs w:val="28"/>
          <w:lang w:val="en-US" w:eastAsia="zh-CN"/>
        </w:rPr>
        <w:t>次相应</w:t>
      </w:r>
      <w:r>
        <w:rPr>
          <w:rFonts w:hint="eastAsia" w:ascii="楷体" w:hAnsi="楷体" w:eastAsia="楷体" w:cs="楷体"/>
          <w:sz w:val="28"/>
          <w:szCs w:val="28"/>
        </w:rPr>
        <w:t>清洗内容并通过验收后，</w:t>
      </w:r>
      <w:r>
        <w:rPr>
          <w:rFonts w:hint="eastAsia" w:ascii="楷体" w:hAnsi="楷体" w:eastAsia="楷体" w:cs="楷体"/>
          <w:sz w:val="28"/>
          <w:szCs w:val="28"/>
          <w:lang w:eastAsia="zh-CN"/>
        </w:rPr>
        <w:t>乙方</w:t>
      </w:r>
      <w:r>
        <w:rPr>
          <w:rFonts w:hint="eastAsia" w:ascii="楷体" w:hAnsi="楷体" w:eastAsia="楷体" w:cs="楷体"/>
          <w:sz w:val="28"/>
          <w:szCs w:val="28"/>
        </w:rPr>
        <w:t>开具增值税专用发票，</w:t>
      </w:r>
      <w:r>
        <w:rPr>
          <w:rFonts w:hint="eastAsia" w:ascii="楷体" w:hAnsi="楷体" w:eastAsia="楷体" w:cs="楷体"/>
          <w:sz w:val="28"/>
          <w:szCs w:val="28"/>
          <w:lang w:eastAsia="zh-CN"/>
        </w:rPr>
        <w:t>甲方</w:t>
      </w:r>
      <w:r>
        <w:rPr>
          <w:rFonts w:hint="eastAsia" w:ascii="楷体" w:hAnsi="楷体" w:eastAsia="楷体" w:cs="楷体"/>
          <w:sz w:val="28"/>
          <w:szCs w:val="28"/>
        </w:rPr>
        <w:t>在收到有效资料的30个日历日内支付至当</w:t>
      </w:r>
      <w:r>
        <w:rPr>
          <w:rFonts w:hint="eastAsia" w:ascii="楷体" w:hAnsi="楷体" w:eastAsia="楷体" w:cs="楷体"/>
          <w:sz w:val="28"/>
          <w:szCs w:val="28"/>
          <w:lang w:val="en-US" w:eastAsia="zh-CN"/>
        </w:rPr>
        <w:t>次费</w:t>
      </w:r>
      <w:r>
        <w:rPr>
          <w:rFonts w:hint="eastAsia" w:ascii="楷体" w:hAnsi="楷体" w:eastAsia="楷体" w:cs="楷体"/>
          <w:sz w:val="28"/>
          <w:szCs w:val="28"/>
        </w:rPr>
        <w:t>用的100%。</w:t>
      </w:r>
    </w:p>
    <w:p w14:paraId="73DC7F73">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w:t>
      </w:r>
      <w:r>
        <w:rPr>
          <w:rFonts w:hint="eastAsia" w:ascii="楷体" w:hAnsi="楷体" w:eastAsia="楷体" w:cs="楷体"/>
          <w:sz w:val="28"/>
          <w:szCs w:val="28"/>
          <w:lang w:val="en-US" w:eastAsia="zh-CN"/>
        </w:rPr>
        <w:t>2</w:t>
      </w:r>
      <w:r>
        <w:rPr>
          <w:rFonts w:hint="eastAsia" w:ascii="楷体" w:hAnsi="楷体" w:eastAsia="楷体" w:cs="楷体"/>
          <w:sz w:val="28"/>
          <w:szCs w:val="28"/>
        </w:rPr>
        <w:t>）乙方请款前需向甲方提供请款材料和开具合法有效等额的增值税专用发票，否则甲方有权拒绝付款。</w:t>
      </w:r>
    </w:p>
    <w:p w14:paraId="050B3EFF">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3.履约保证金：</w:t>
      </w:r>
      <w:r>
        <w:rPr>
          <w:rFonts w:hint="eastAsia" w:ascii="楷体" w:hAnsi="楷体" w:eastAsia="楷体" w:cs="楷体"/>
          <w:sz w:val="28"/>
          <w:szCs w:val="28"/>
          <w:lang w:eastAsia="zh-CN"/>
        </w:rPr>
        <w:t>乙方</w:t>
      </w:r>
      <w:r>
        <w:rPr>
          <w:rFonts w:hint="eastAsia" w:ascii="楷体" w:hAnsi="楷体" w:eastAsia="楷体" w:cs="楷体"/>
          <w:sz w:val="28"/>
          <w:szCs w:val="28"/>
          <w:lang w:val="en-US" w:eastAsia="zh-CN"/>
        </w:rPr>
        <w:t>在投标时缴纳的</w:t>
      </w:r>
      <w:r>
        <w:rPr>
          <w:rFonts w:hint="eastAsia" w:ascii="楷体" w:hAnsi="楷体" w:eastAsia="楷体" w:cs="楷体"/>
          <w:sz w:val="28"/>
          <w:szCs w:val="28"/>
        </w:rPr>
        <w:t>报价保证金</w:t>
      </w:r>
      <w:r>
        <w:rPr>
          <w:rFonts w:hint="eastAsia" w:ascii="楷体" w:hAnsi="楷体" w:eastAsia="楷体" w:cs="楷体"/>
          <w:sz w:val="28"/>
          <w:szCs w:val="28"/>
          <w:lang w:val="en-US" w:eastAsia="zh-CN"/>
        </w:rPr>
        <w:t>¥5,000.00元（大写：伍仟元整）</w:t>
      </w:r>
      <w:r>
        <w:rPr>
          <w:rFonts w:hint="eastAsia" w:ascii="楷体" w:hAnsi="楷体" w:eastAsia="楷体" w:cs="楷体"/>
          <w:sz w:val="28"/>
          <w:szCs w:val="28"/>
        </w:rPr>
        <w:t>在合同签订后自动转为履约保证金，履约保证金作为</w:t>
      </w:r>
      <w:r>
        <w:rPr>
          <w:rFonts w:hint="eastAsia" w:ascii="楷体" w:hAnsi="楷体" w:eastAsia="楷体" w:cs="楷体"/>
          <w:sz w:val="28"/>
          <w:szCs w:val="28"/>
          <w:lang w:eastAsia="zh-CN"/>
        </w:rPr>
        <w:t>乙方</w:t>
      </w:r>
      <w:r>
        <w:rPr>
          <w:rFonts w:hint="eastAsia" w:ascii="楷体" w:hAnsi="楷体" w:eastAsia="楷体" w:cs="楷体"/>
          <w:sz w:val="28"/>
          <w:szCs w:val="28"/>
        </w:rPr>
        <w:t>在履约过程中违约金或罚款的扣罚来源之一，履约保证金返还申请时间为合同期满之日，</w:t>
      </w:r>
      <w:r>
        <w:rPr>
          <w:rFonts w:hint="eastAsia" w:ascii="楷体" w:hAnsi="楷体" w:eastAsia="楷体" w:cs="楷体"/>
          <w:sz w:val="28"/>
          <w:szCs w:val="28"/>
          <w:lang w:eastAsia="zh-CN"/>
        </w:rPr>
        <w:t>乙方</w:t>
      </w:r>
      <w:r>
        <w:rPr>
          <w:rFonts w:hint="eastAsia" w:ascii="楷体" w:hAnsi="楷体" w:eastAsia="楷体" w:cs="楷体"/>
          <w:sz w:val="28"/>
          <w:szCs w:val="28"/>
        </w:rPr>
        <w:t>在没有任何违约的情况下提交退款申请，收到</w:t>
      </w:r>
      <w:r>
        <w:rPr>
          <w:rFonts w:hint="eastAsia" w:ascii="楷体" w:hAnsi="楷体" w:eastAsia="楷体" w:cs="楷体"/>
          <w:sz w:val="28"/>
          <w:szCs w:val="28"/>
          <w:lang w:eastAsia="zh-CN"/>
        </w:rPr>
        <w:t>乙方</w:t>
      </w:r>
      <w:r>
        <w:rPr>
          <w:rFonts w:hint="eastAsia" w:ascii="楷体" w:hAnsi="楷体" w:eastAsia="楷体" w:cs="楷体"/>
          <w:sz w:val="28"/>
          <w:szCs w:val="28"/>
        </w:rPr>
        <w:t>申请后30个日历日内，</w:t>
      </w:r>
      <w:r>
        <w:rPr>
          <w:rFonts w:hint="eastAsia" w:ascii="楷体" w:hAnsi="楷体" w:eastAsia="楷体" w:cs="楷体"/>
          <w:sz w:val="28"/>
          <w:szCs w:val="28"/>
          <w:lang w:eastAsia="zh-CN"/>
        </w:rPr>
        <w:t>甲方</w:t>
      </w:r>
      <w:r>
        <w:rPr>
          <w:rFonts w:hint="eastAsia" w:ascii="楷体" w:hAnsi="楷体" w:eastAsia="楷体" w:cs="楷体"/>
          <w:sz w:val="28"/>
          <w:szCs w:val="28"/>
        </w:rPr>
        <w:t>一次性无息退回。</w:t>
      </w:r>
    </w:p>
    <w:p w14:paraId="6BE019CC">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4.乙方收款账户信息：</w:t>
      </w:r>
    </w:p>
    <w:p w14:paraId="1B147E0D">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 xml:space="preserve">开户名称：           </w:t>
      </w:r>
    </w:p>
    <w:p w14:paraId="23646438">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 xml:space="preserve">账    号：                      </w:t>
      </w:r>
    </w:p>
    <w:p w14:paraId="1886958A">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 xml:space="preserve">开户银行：                    </w:t>
      </w:r>
    </w:p>
    <w:p w14:paraId="26C8B66D">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因乙方提供的收款账户信息错误或乙方擅自变更收款账户信息而未及时书面通知甲方，导致甲方付款迟延的，甲方无需承担迟延付款责任。</w:t>
      </w:r>
    </w:p>
    <w:p w14:paraId="7CDA51E2">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5.对本合同没有约定的项目内容，只有双方签订的补充协议才能作为最终款项支付依据，除补充协议外的任何文件（如备忘录、会议纪要等）均不得作为最终款项支付的依据。</w:t>
      </w:r>
    </w:p>
    <w:p w14:paraId="627FDB07">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b/>
          <w:sz w:val="28"/>
          <w:szCs w:val="28"/>
        </w:rPr>
      </w:pPr>
      <w:r>
        <w:rPr>
          <w:rFonts w:hint="eastAsia" w:ascii="楷体" w:hAnsi="楷体" w:eastAsia="楷体" w:cs="楷体"/>
          <w:b/>
          <w:sz w:val="28"/>
          <w:szCs w:val="28"/>
        </w:rPr>
        <w:t>第八条 工作成果归属：</w:t>
      </w:r>
    </w:p>
    <w:p w14:paraId="2BC6BC31">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 xml:space="preserve">1．甲方利用乙方提交的技术服务工作成果所完成的新的技术成果，归 </w:t>
      </w:r>
      <w:bookmarkStart w:id="4" w:name="OLE_LINK2"/>
      <w:bookmarkStart w:id="5" w:name="OLE_LINK1"/>
      <w:r>
        <w:rPr>
          <w:rFonts w:hint="eastAsia" w:ascii="楷体" w:hAnsi="楷体" w:eastAsia="楷体" w:cs="楷体"/>
          <w:sz w:val="28"/>
          <w:szCs w:val="28"/>
          <w:u w:val="single"/>
        </w:rPr>
        <w:t xml:space="preserve">【 </w:t>
      </w:r>
      <w:r>
        <w:rPr>
          <w:rFonts w:hint="eastAsia" w:ascii="楷体" w:hAnsi="楷体" w:eastAsia="楷体" w:cs="楷体"/>
          <w:sz w:val="28"/>
          <w:szCs w:val="28"/>
          <w:u w:val="single"/>
          <w:lang w:val="en-US" w:eastAsia="zh-CN"/>
        </w:rPr>
        <w:t>甲</w:t>
      </w:r>
      <w:r>
        <w:rPr>
          <w:rFonts w:hint="eastAsia" w:ascii="楷体" w:hAnsi="楷体" w:eastAsia="楷体" w:cs="楷体"/>
          <w:sz w:val="28"/>
          <w:szCs w:val="28"/>
          <w:u w:val="single"/>
        </w:rPr>
        <w:t xml:space="preserve"> 】</w:t>
      </w:r>
      <w:bookmarkEnd w:id="4"/>
      <w:bookmarkEnd w:id="5"/>
      <w:r>
        <w:rPr>
          <w:rFonts w:hint="eastAsia" w:ascii="楷体" w:hAnsi="楷体" w:eastAsia="楷体" w:cs="楷体"/>
          <w:sz w:val="28"/>
          <w:szCs w:val="28"/>
        </w:rPr>
        <w:t>（甲、双）方所有。</w:t>
      </w:r>
    </w:p>
    <w:p w14:paraId="0E1F94AC">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2．乙方利用甲方提供的技术资料和工作条件所完成的新的技术成果，归</w:t>
      </w:r>
      <w:r>
        <w:rPr>
          <w:rFonts w:hint="eastAsia" w:ascii="楷体" w:hAnsi="楷体" w:eastAsia="楷体" w:cs="楷体"/>
          <w:sz w:val="28"/>
          <w:szCs w:val="28"/>
          <w:u w:val="single"/>
        </w:rPr>
        <w:t xml:space="preserve"> 【 </w:t>
      </w:r>
      <w:r>
        <w:rPr>
          <w:rFonts w:hint="eastAsia" w:ascii="楷体" w:hAnsi="楷体" w:eastAsia="楷体" w:cs="楷体"/>
          <w:sz w:val="28"/>
          <w:szCs w:val="28"/>
          <w:u w:val="single"/>
          <w:lang w:val="en-US" w:eastAsia="zh-CN"/>
        </w:rPr>
        <w:t>甲</w:t>
      </w:r>
      <w:r>
        <w:rPr>
          <w:rFonts w:hint="eastAsia" w:ascii="楷体" w:hAnsi="楷体" w:eastAsia="楷体" w:cs="楷体"/>
          <w:sz w:val="28"/>
          <w:szCs w:val="28"/>
          <w:u w:val="single"/>
        </w:rPr>
        <w:t xml:space="preserve"> 】</w:t>
      </w:r>
      <w:r>
        <w:rPr>
          <w:rFonts w:hint="eastAsia" w:ascii="楷体" w:hAnsi="楷体" w:eastAsia="楷体" w:cs="楷体"/>
          <w:sz w:val="28"/>
          <w:szCs w:val="28"/>
        </w:rPr>
        <w:t>（甲、乙、双）方所有。</w:t>
      </w:r>
    </w:p>
    <w:p w14:paraId="6B6D63CA">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b/>
          <w:sz w:val="28"/>
          <w:szCs w:val="28"/>
        </w:rPr>
      </w:pPr>
      <w:r>
        <w:rPr>
          <w:rFonts w:hint="eastAsia" w:ascii="楷体" w:hAnsi="楷体" w:eastAsia="楷体" w:cs="楷体"/>
          <w:b/>
          <w:sz w:val="28"/>
          <w:szCs w:val="28"/>
        </w:rPr>
        <w:t>第九条 违约责任</w:t>
      </w:r>
    </w:p>
    <w:p w14:paraId="5D07E1B7">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违反本合同约定，违约方应当按《中华人民共和国民法典》有关规定，承担违约责任。</w:t>
      </w:r>
    </w:p>
    <w:p w14:paraId="07E62558">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1．甲方应按本合同规定的金额和时间向乙方支付合同价款，每逾期一天，应承担应付未付金额</w:t>
      </w:r>
      <w:r>
        <w:rPr>
          <w:rFonts w:hint="eastAsia" w:ascii="楷体" w:hAnsi="楷体" w:eastAsia="楷体" w:cs="楷体"/>
          <w:sz w:val="28"/>
          <w:szCs w:val="28"/>
          <w:u w:val="single"/>
        </w:rPr>
        <w:t xml:space="preserve">   1  ‰</w:t>
      </w:r>
      <w:r>
        <w:rPr>
          <w:rFonts w:hint="eastAsia" w:ascii="楷体" w:hAnsi="楷体" w:eastAsia="楷体" w:cs="楷体"/>
          <w:sz w:val="28"/>
          <w:szCs w:val="28"/>
        </w:rPr>
        <w:t>的逾期违约金。</w:t>
      </w:r>
    </w:p>
    <w:p w14:paraId="7386079C">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 xml:space="preserve">2．乙方必须按本合同第二条的工期及成果要求完成各项任务，如果因乙方原因造成工期延误, 逾期十五日内，每逾期一日，应按合同总额的 </w:t>
      </w:r>
      <w:r>
        <w:rPr>
          <w:rFonts w:hint="eastAsia" w:ascii="楷体" w:hAnsi="楷体" w:eastAsia="楷体" w:cs="楷体"/>
          <w:sz w:val="28"/>
          <w:szCs w:val="28"/>
          <w:u w:val="single"/>
        </w:rPr>
        <w:t xml:space="preserve">  1  </w:t>
      </w:r>
      <w:r>
        <w:rPr>
          <w:rFonts w:hint="eastAsia" w:ascii="楷体" w:hAnsi="楷体" w:eastAsia="楷体" w:cs="楷体"/>
          <w:sz w:val="28"/>
          <w:szCs w:val="28"/>
          <w:u w:val="single"/>
          <w:lang w:val="en-US" w:eastAsia="zh-CN"/>
        </w:rPr>
        <w:t>%</w:t>
      </w:r>
      <w:r>
        <w:rPr>
          <w:rFonts w:hint="eastAsia" w:ascii="楷体" w:hAnsi="楷体" w:eastAsia="楷体" w:cs="楷体"/>
          <w:sz w:val="28"/>
          <w:szCs w:val="28"/>
        </w:rPr>
        <w:t>向甲方支付违约金；逾期超过十五日甲方有权单方解除本合同，乙方除支付逾期违约金外，还应按合同总价款的</w:t>
      </w:r>
      <w:r>
        <w:rPr>
          <w:rFonts w:hint="eastAsia" w:ascii="楷体" w:hAnsi="楷体" w:eastAsia="楷体" w:cs="楷体"/>
          <w:sz w:val="28"/>
          <w:szCs w:val="28"/>
          <w:u w:val="single"/>
        </w:rPr>
        <w:t xml:space="preserve"> 30 </w:t>
      </w:r>
      <w:r>
        <w:rPr>
          <w:rFonts w:hint="eastAsia" w:ascii="楷体" w:hAnsi="楷体" w:eastAsia="楷体" w:cs="楷体"/>
          <w:sz w:val="28"/>
          <w:szCs w:val="28"/>
        </w:rPr>
        <w:t>％向甲方支付违约金。如果因甲方原因造成工期延误，工期顺延，乙方不承担违约责任。</w:t>
      </w:r>
    </w:p>
    <w:p w14:paraId="56221997">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3.</w:t>
      </w:r>
      <w:r>
        <w:rPr>
          <w:rFonts w:hint="eastAsia" w:ascii="楷体" w:hAnsi="楷体" w:eastAsia="楷体" w:cs="楷体"/>
          <w:sz w:val="28"/>
          <w:szCs w:val="28"/>
          <w:lang w:val="en-US" w:eastAsia="zh-CN"/>
        </w:rPr>
        <w:t>如</w:t>
      </w:r>
      <w:r>
        <w:rPr>
          <w:rFonts w:hint="eastAsia" w:ascii="楷体" w:hAnsi="楷体" w:eastAsia="楷体" w:cs="楷体"/>
          <w:sz w:val="28"/>
          <w:szCs w:val="28"/>
        </w:rPr>
        <w:t>乙方</w:t>
      </w:r>
      <w:r>
        <w:rPr>
          <w:rFonts w:hint="eastAsia" w:ascii="楷体" w:hAnsi="楷体" w:eastAsia="楷体" w:cs="楷体"/>
          <w:sz w:val="28"/>
          <w:szCs w:val="28"/>
          <w:lang w:val="en-US" w:eastAsia="zh-CN"/>
        </w:rPr>
        <w:t>清洗服务</w:t>
      </w:r>
      <w:r>
        <w:rPr>
          <w:rFonts w:hint="eastAsia" w:ascii="楷体" w:hAnsi="楷体" w:eastAsia="楷体" w:cs="楷体"/>
          <w:sz w:val="28"/>
          <w:szCs w:val="28"/>
        </w:rPr>
        <w:t>不符合本合同约定</w:t>
      </w:r>
      <w:r>
        <w:rPr>
          <w:rFonts w:hint="eastAsia" w:ascii="楷体" w:hAnsi="楷体" w:eastAsia="楷体" w:cs="楷体"/>
          <w:sz w:val="28"/>
          <w:szCs w:val="28"/>
          <w:lang w:val="en-US" w:eastAsia="zh-CN"/>
        </w:rPr>
        <w:t>验收</w:t>
      </w:r>
      <w:r>
        <w:rPr>
          <w:rFonts w:hint="eastAsia" w:ascii="楷体" w:hAnsi="楷体" w:eastAsia="楷体" w:cs="楷体"/>
          <w:sz w:val="28"/>
          <w:szCs w:val="28"/>
        </w:rPr>
        <w:t>标准的，应按甲方要求</w:t>
      </w:r>
      <w:r>
        <w:rPr>
          <w:rFonts w:hint="eastAsia" w:ascii="楷体" w:hAnsi="楷体" w:eastAsia="楷体" w:cs="楷体"/>
          <w:sz w:val="28"/>
          <w:szCs w:val="28"/>
          <w:lang w:val="en-US" w:eastAsia="zh-CN"/>
        </w:rPr>
        <w:t>进行整改</w:t>
      </w:r>
      <w:r>
        <w:rPr>
          <w:rFonts w:hint="eastAsia" w:ascii="楷体" w:hAnsi="楷体" w:eastAsia="楷体" w:cs="楷体"/>
          <w:sz w:val="28"/>
          <w:szCs w:val="28"/>
        </w:rPr>
        <w:t>，因此导致逾期的，按本条第2款承担相应违约责任。经整改后乙方</w:t>
      </w:r>
      <w:r>
        <w:rPr>
          <w:rFonts w:hint="eastAsia" w:ascii="楷体" w:hAnsi="楷体" w:eastAsia="楷体" w:cs="楷体"/>
          <w:sz w:val="28"/>
          <w:szCs w:val="28"/>
          <w:lang w:val="en-US" w:eastAsia="zh-CN"/>
        </w:rPr>
        <w:t>清洗服务</w:t>
      </w:r>
      <w:r>
        <w:rPr>
          <w:rFonts w:hint="eastAsia" w:ascii="楷体" w:hAnsi="楷体" w:eastAsia="楷体" w:cs="楷体"/>
          <w:sz w:val="28"/>
          <w:szCs w:val="28"/>
        </w:rPr>
        <w:t>仍不符合约定标准的，甲方有权解除合同，乙方应向甲方退回全部款项，且乙方应按合同总价款之30%向甲方支付违约金。</w:t>
      </w:r>
    </w:p>
    <w:p w14:paraId="2D92973D">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b/>
          <w:sz w:val="28"/>
          <w:szCs w:val="28"/>
        </w:rPr>
      </w:pPr>
      <w:r>
        <w:rPr>
          <w:rFonts w:hint="eastAsia" w:ascii="楷体" w:hAnsi="楷体" w:eastAsia="楷体" w:cs="楷体"/>
          <w:sz w:val="28"/>
          <w:szCs w:val="28"/>
        </w:rPr>
        <w:t>4．</w:t>
      </w:r>
      <w:r>
        <w:rPr>
          <w:rFonts w:hint="eastAsia" w:ascii="楷体" w:hAnsi="楷体" w:eastAsia="楷体" w:cs="楷体"/>
          <w:sz w:val="28"/>
          <w:szCs w:val="28"/>
          <w:lang w:val="en-US" w:eastAsia="zh-CN"/>
        </w:rPr>
        <w:t>合同期内，</w:t>
      </w:r>
      <w:r>
        <w:rPr>
          <w:rFonts w:hint="eastAsia" w:ascii="楷体" w:hAnsi="楷体" w:eastAsia="楷体" w:cs="楷体"/>
          <w:sz w:val="28"/>
          <w:szCs w:val="28"/>
        </w:rPr>
        <w:t>因乙方的原因导致</w:t>
      </w:r>
      <w:r>
        <w:rPr>
          <w:rFonts w:hint="eastAsia" w:ascii="楷体" w:hAnsi="楷体" w:eastAsia="楷体" w:cs="楷体"/>
          <w:sz w:val="28"/>
          <w:szCs w:val="28"/>
          <w:lang w:val="en-US" w:eastAsia="zh-CN"/>
        </w:rPr>
        <w:t>清洗服务成果</w:t>
      </w:r>
      <w:r>
        <w:rPr>
          <w:rFonts w:hint="eastAsia" w:ascii="楷体" w:hAnsi="楷体" w:eastAsia="楷体" w:cs="楷体"/>
          <w:sz w:val="28"/>
          <w:szCs w:val="28"/>
        </w:rPr>
        <w:t>无法通过甲方组织的验收</w:t>
      </w:r>
      <w:r>
        <w:rPr>
          <w:rFonts w:hint="eastAsia" w:ascii="楷体" w:hAnsi="楷体" w:eastAsia="楷体" w:cs="楷体"/>
          <w:sz w:val="28"/>
          <w:szCs w:val="28"/>
          <w:lang w:val="en-US" w:eastAsia="zh-CN"/>
        </w:rPr>
        <w:t>达三次以上的</w:t>
      </w:r>
      <w:r>
        <w:rPr>
          <w:rFonts w:hint="eastAsia" w:ascii="楷体" w:hAnsi="楷体" w:eastAsia="楷体" w:cs="楷体"/>
          <w:sz w:val="28"/>
          <w:szCs w:val="28"/>
        </w:rPr>
        <w:t>,甲方有权不支付相应报酬并没收乙方履约保证金，因此造成的损失有权向乙方索赔。</w:t>
      </w:r>
    </w:p>
    <w:p w14:paraId="7A0595A9">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b/>
          <w:sz w:val="28"/>
          <w:szCs w:val="28"/>
        </w:rPr>
      </w:pPr>
      <w:r>
        <w:rPr>
          <w:rFonts w:hint="eastAsia" w:ascii="楷体" w:hAnsi="楷体" w:eastAsia="楷体" w:cs="楷体"/>
          <w:b/>
          <w:sz w:val="28"/>
          <w:szCs w:val="28"/>
        </w:rPr>
        <w:t>第十条 争端的解决</w:t>
      </w:r>
    </w:p>
    <w:p w14:paraId="7ED6BAE3">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合同执行过程中发生的任何争议，如双方不能通过友好协商解决，提交甲方所在地法院诉讼解决。</w:t>
      </w:r>
    </w:p>
    <w:p w14:paraId="2BC143E0">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b/>
          <w:sz w:val="28"/>
          <w:szCs w:val="28"/>
        </w:rPr>
      </w:pPr>
      <w:r>
        <w:rPr>
          <w:rFonts w:hint="eastAsia" w:ascii="楷体" w:hAnsi="楷体" w:eastAsia="楷体" w:cs="楷体"/>
          <w:b/>
          <w:sz w:val="28"/>
          <w:szCs w:val="28"/>
        </w:rPr>
        <w:t>第十一条 不可抗力</w:t>
      </w:r>
    </w:p>
    <w:p w14:paraId="7CC20C2C">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任何一方由于不可抗力原因不能履行合同时，应在不可抗力事件结束后1个日历日内向对方通报，以减轻可能给对方造成的损失，在取得有关机构的不可抗力证明或双方谅解确认后，允许延期履行或修订合同，并根据情况可部分或全部免于承担违约责任。</w:t>
      </w:r>
    </w:p>
    <w:p w14:paraId="61BFC74A">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b/>
          <w:sz w:val="28"/>
          <w:szCs w:val="28"/>
        </w:rPr>
        <w:t>十二条 合同终止与事后义务</w:t>
      </w:r>
    </w:p>
    <w:p w14:paraId="46913FF8">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当乙方向甲方提供符合国家法律法规及技术规范的检测报告，通过相关部门的审核（如有）后，本合同自行终止。事后双方应保持良好沟通、主动配合行政主管部门的监督检查和回头看工作。</w:t>
      </w:r>
    </w:p>
    <w:p w14:paraId="0D6275E3">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b/>
          <w:sz w:val="28"/>
          <w:szCs w:val="28"/>
        </w:rPr>
      </w:pPr>
      <w:r>
        <w:rPr>
          <w:rFonts w:hint="eastAsia" w:ascii="楷体" w:hAnsi="楷体" w:eastAsia="楷体" w:cs="楷体"/>
          <w:b/>
          <w:sz w:val="28"/>
          <w:szCs w:val="28"/>
        </w:rPr>
        <w:t>十三条 其它</w:t>
      </w:r>
    </w:p>
    <w:p w14:paraId="58D49E23">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1.本合同所有附件、采购文件、报价文件、结果确认函均为本合同的有效组成部分，与本合同具有同等法律效力。</w:t>
      </w:r>
    </w:p>
    <w:p w14:paraId="50083DE6">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2.在执行本合同的过程中，所有经双方签署确认的文件（包括会议纪要、补充协议、往来信函）即成为本合同的有效组成部分。</w:t>
      </w:r>
    </w:p>
    <w:p w14:paraId="34871135">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3.如一方地址、电话、传真号码有变更，应在变更当日内书面通知对方，否则，应承担相应责任。</w:t>
      </w:r>
    </w:p>
    <w:p w14:paraId="04E3B717">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b/>
          <w:sz w:val="28"/>
          <w:szCs w:val="28"/>
        </w:rPr>
      </w:pPr>
      <w:r>
        <w:rPr>
          <w:rFonts w:hint="eastAsia" w:ascii="楷体" w:hAnsi="楷体" w:eastAsia="楷体" w:cs="楷体"/>
          <w:b/>
          <w:sz w:val="28"/>
          <w:szCs w:val="28"/>
        </w:rPr>
        <w:t>第十四条 合同生效</w:t>
      </w:r>
    </w:p>
    <w:p w14:paraId="5126468E">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1.本合同在甲乙双方盖章之日及法定代表人或委托代理人签署之日起生效。</w:t>
      </w:r>
    </w:p>
    <w:p w14:paraId="0F15A760">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2.本合同一式陆份，甲方肆份，乙方贰份, 具有同等法律效力。</w:t>
      </w:r>
    </w:p>
    <w:p w14:paraId="4964BECA">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3.本合同附件：</w:t>
      </w:r>
    </w:p>
    <w:p w14:paraId="70B6FBC0">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附件1： 《阳光合作协议》</w:t>
      </w:r>
    </w:p>
    <w:p w14:paraId="36E4EAB0">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附件2：</w:t>
      </w:r>
    </w:p>
    <w:p w14:paraId="070C382F">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 xml:space="preserve">附件3： </w:t>
      </w:r>
    </w:p>
    <w:p w14:paraId="70E23E52">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（以下无正文）</w:t>
      </w:r>
    </w:p>
    <w:p w14:paraId="7201C4FF">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p>
    <w:p w14:paraId="7FF78B3D">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甲方（盖章）：                     乙方（盖章）：</w:t>
      </w:r>
    </w:p>
    <w:p w14:paraId="3A45A858">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p>
    <w:p w14:paraId="60E1B52E">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法定代表人（签章）：                 法定代表人（签章）：</w:t>
      </w:r>
    </w:p>
    <w:p w14:paraId="7C0D8F25">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或授权代表人（签字）：               或授权代表人（签字）：</w:t>
      </w:r>
    </w:p>
    <w:p w14:paraId="00E1D73E">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 xml:space="preserve">                                 </w:t>
      </w:r>
    </w:p>
    <w:p w14:paraId="0D2E761D">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签约地点：东莞市</w:t>
      </w:r>
    </w:p>
    <w:p w14:paraId="03137ABC">
      <w:pPr>
        <w:keepNext w:val="0"/>
        <w:keepLines w:val="0"/>
        <w:pageBreakBefore w:val="0"/>
        <w:widowControl w:val="0"/>
        <w:kinsoku/>
        <w:wordWrap/>
        <w:overflowPunct/>
        <w:topLinePunct w:val="0"/>
        <w:autoSpaceDE/>
        <w:autoSpaceDN/>
        <w:bidi w:val="0"/>
        <w:adjustRightInd/>
        <w:snapToGrid/>
        <w:spacing w:line="460" w:lineRule="exact"/>
        <w:ind w:right="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签订时间：</w:t>
      </w:r>
      <w:r>
        <w:rPr>
          <w:rFonts w:hint="eastAsia" w:ascii="楷体" w:hAnsi="楷体" w:eastAsia="楷体" w:cs="楷体"/>
          <w:sz w:val="28"/>
          <w:szCs w:val="28"/>
          <w:lang w:val="en-US" w:eastAsia="zh-CN"/>
        </w:rPr>
        <w:t>2024</w:t>
      </w:r>
      <w:r>
        <w:rPr>
          <w:rFonts w:hint="eastAsia" w:ascii="楷体" w:hAnsi="楷体" w:eastAsia="楷体" w:cs="楷体"/>
          <w:sz w:val="28"/>
          <w:szCs w:val="28"/>
        </w:rPr>
        <w:t>年  月  日</w:t>
      </w:r>
    </w:p>
    <w:p w14:paraId="49E69328">
      <w:pPr>
        <w:rPr>
          <w:rFonts w:hint="eastAsia" w:ascii="楷体" w:hAnsi="楷体" w:eastAsia="楷体" w:cs="楷体"/>
          <w:sz w:val="28"/>
          <w:szCs w:val="28"/>
        </w:rPr>
      </w:pPr>
      <w:r>
        <w:rPr>
          <w:rFonts w:hint="eastAsia" w:ascii="楷体" w:hAnsi="楷体" w:eastAsia="楷体" w:cs="楷体"/>
          <w:sz w:val="28"/>
          <w:szCs w:val="28"/>
        </w:rPr>
        <w:br w:type="page"/>
      </w:r>
    </w:p>
    <w:p w14:paraId="7716F38F">
      <w:pPr>
        <w:keepNext w:val="0"/>
        <w:keepLines w:val="0"/>
        <w:pageBreakBefore w:val="0"/>
        <w:widowControl w:val="0"/>
        <w:kinsoku/>
        <w:wordWrap/>
        <w:overflowPunct/>
        <w:topLinePunct w:val="0"/>
        <w:autoSpaceDE/>
        <w:autoSpaceDN/>
        <w:bidi w:val="0"/>
        <w:adjustRightInd/>
        <w:snapToGrid/>
        <w:spacing w:beforeAutospacing="0" w:afterAutospacing="0" w:line="460" w:lineRule="exact"/>
        <w:ind w:right="0"/>
        <w:jc w:val="both"/>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附件1：报价清单</w:t>
      </w:r>
    </w:p>
    <w:p w14:paraId="7396C719">
      <w:pPr>
        <w:keepNext w:val="0"/>
        <w:keepLines w:val="0"/>
        <w:pageBreakBefore w:val="0"/>
        <w:widowControl w:val="0"/>
        <w:kinsoku/>
        <w:wordWrap/>
        <w:overflowPunct/>
        <w:topLinePunct w:val="0"/>
        <w:autoSpaceDE/>
        <w:autoSpaceDN/>
        <w:bidi w:val="0"/>
        <w:adjustRightInd/>
        <w:snapToGrid/>
        <w:spacing w:beforeAutospacing="0" w:afterAutospacing="0" w:line="460" w:lineRule="exact"/>
        <w:ind w:right="0"/>
        <w:jc w:val="both"/>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附件2：安全管理协议书</w:t>
      </w:r>
    </w:p>
    <w:p w14:paraId="3B278117">
      <w:pPr>
        <w:spacing w:before="4368" w:beforeLines="1400"/>
        <w:jc w:val="center"/>
        <w:rPr>
          <w:rFonts w:ascii="楷体" w:hAnsi="楷体" w:eastAsia="楷体" w:cs="楷体"/>
          <w:b/>
          <w:bCs/>
          <w:sz w:val="52"/>
          <w:szCs w:val="52"/>
        </w:rPr>
      </w:pPr>
      <w:r>
        <w:rPr>
          <w:rFonts w:hint="eastAsia" w:ascii="楷体" w:hAnsi="楷体" w:eastAsia="楷体" w:cs="楷体"/>
          <w:b/>
          <w:bCs/>
          <w:sz w:val="52"/>
          <w:szCs w:val="52"/>
          <w:lang w:bidi="ar"/>
        </w:rPr>
        <w:t>安全管理协议书</w:t>
      </w:r>
    </w:p>
    <w:p w14:paraId="392E137B">
      <w:pPr>
        <w:jc w:val="center"/>
        <w:rPr>
          <w:rFonts w:ascii="楷体" w:hAnsi="楷体" w:eastAsia="楷体" w:cs="楷体"/>
          <w:sz w:val="24"/>
          <w:szCs w:val="24"/>
        </w:rPr>
      </w:pPr>
    </w:p>
    <w:p w14:paraId="39E3D6AF">
      <w:pPr>
        <w:jc w:val="center"/>
        <w:rPr>
          <w:rFonts w:ascii="楷体" w:hAnsi="楷体" w:eastAsia="楷体" w:cs="楷体"/>
          <w:sz w:val="24"/>
          <w:szCs w:val="24"/>
        </w:rPr>
      </w:pPr>
    </w:p>
    <w:p w14:paraId="63D7EF2D">
      <w:pPr>
        <w:jc w:val="center"/>
        <w:rPr>
          <w:rFonts w:ascii="楷体" w:hAnsi="楷体" w:eastAsia="楷体" w:cs="楷体"/>
          <w:sz w:val="24"/>
          <w:szCs w:val="24"/>
        </w:rPr>
      </w:pPr>
    </w:p>
    <w:p w14:paraId="6DD673B9">
      <w:pPr>
        <w:jc w:val="center"/>
        <w:rPr>
          <w:rFonts w:ascii="楷体" w:hAnsi="楷体" w:eastAsia="楷体" w:cs="楷体"/>
          <w:sz w:val="24"/>
          <w:szCs w:val="24"/>
        </w:rPr>
      </w:pPr>
    </w:p>
    <w:p w14:paraId="480AF56C">
      <w:pPr>
        <w:jc w:val="center"/>
        <w:rPr>
          <w:rFonts w:ascii="楷体" w:hAnsi="楷体" w:eastAsia="楷体" w:cs="楷体"/>
          <w:sz w:val="24"/>
          <w:szCs w:val="24"/>
        </w:rPr>
      </w:pPr>
    </w:p>
    <w:p w14:paraId="6576A5C2">
      <w:pPr>
        <w:spacing w:line="789" w:lineRule="exact"/>
        <w:ind w:left="137"/>
        <w:jc w:val="center"/>
        <w:rPr>
          <w:rFonts w:ascii="楷体" w:hAnsi="楷体" w:eastAsia="楷体" w:cs="楷体"/>
          <w:sz w:val="24"/>
          <w:szCs w:val="24"/>
        </w:rPr>
      </w:pPr>
      <w:r>
        <w:rPr>
          <w:rFonts w:hint="eastAsia" w:ascii="楷体" w:hAnsi="楷体" w:eastAsia="楷体" w:cs="楷体"/>
          <w:w w:val="95"/>
          <w:sz w:val="24"/>
          <w:szCs w:val="24"/>
          <w:lang w:bidi="ar"/>
        </w:rPr>
        <w:t>广东东实环境股份有限公司编制</w:t>
      </w:r>
    </w:p>
    <w:p w14:paraId="69D169CF">
      <w:pPr>
        <w:spacing w:line="494" w:lineRule="exact"/>
        <w:ind w:left="-142"/>
        <w:jc w:val="center"/>
        <w:rPr>
          <w:rFonts w:ascii="楷体" w:hAnsi="楷体" w:eastAsia="楷体" w:cs="楷体"/>
          <w:sz w:val="24"/>
          <w:szCs w:val="24"/>
        </w:rPr>
      </w:pPr>
      <w:r>
        <w:rPr>
          <w:rFonts w:hint="eastAsia" w:ascii="楷体" w:hAnsi="楷体" w:eastAsia="楷体" w:cs="楷体"/>
          <w:sz w:val="24"/>
          <w:szCs w:val="24"/>
          <w:lang w:bidi="ar"/>
        </w:rPr>
        <w:t>（适用于广东东实环境股份有限公司及其下属公司）</w:t>
      </w:r>
    </w:p>
    <w:p w14:paraId="69F5AF09">
      <w:pPr>
        <w:widowControl/>
        <w:jc w:val="left"/>
      </w:pPr>
      <w:r>
        <w:br w:type="page"/>
      </w:r>
    </w:p>
    <w:p w14:paraId="04AE91DF">
      <w:pPr>
        <w:keepNext w:val="0"/>
        <w:keepLines w:val="0"/>
        <w:pageBreakBefore w:val="0"/>
        <w:kinsoku/>
        <w:wordWrap/>
        <w:overflowPunct/>
        <w:topLinePunct w:val="0"/>
        <w:autoSpaceDE/>
        <w:autoSpaceDN/>
        <w:bidi w:val="0"/>
        <w:spacing w:line="400" w:lineRule="exact"/>
        <w:textAlignment w:val="auto"/>
        <w:rPr>
          <w:rFonts w:ascii="楷体" w:hAnsi="楷体" w:eastAsia="楷体" w:cs="楷体"/>
          <w:sz w:val="24"/>
          <w:szCs w:val="24"/>
        </w:rPr>
      </w:pPr>
      <w:r>
        <w:rPr>
          <w:rFonts w:hint="eastAsia" w:ascii="楷体" w:hAnsi="楷体" w:eastAsia="楷体" w:cs="楷体"/>
          <w:sz w:val="24"/>
          <w:szCs w:val="24"/>
          <w:lang w:bidi="ar"/>
        </w:rPr>
        <w:t>甲方：</w:t>
      </w:r>
      <w:r>
        <w:rPr>
          <w:rFonts w:hint="eastAsia" w:ascii="楷体" w:hAnsi="楷体" w:eastAsia="楷体" w:cs="楷体"/>
          <w:sz w:val="24"/>
          <w:szCs w:val="24"/>
          <w:u w:val="single"/>
          <w:lang w:bidi="ar"/>
        </w:rPr>
        <w:t>东莞市新东欣环保投资有限公司</w:t>
      </w:r>
    </w:p>
    <w:p w14:paraId="054BAA99">
      <w:pPr>
        <w:keepNext w:val="0"/>
        <w:keepLines w:val="0"/>
        <w:pageBreakBefore w:val="0"/>
        <w:kinsoku/>
        <w:wordWrap/>
        <w:overflowPunct/>
        <w:topLinePunct w:val="0"/>
        <w:autoSpaceDE/>
        <w:autoSpaceDN/>
        <w:bidi w:val="0"/>
        <w:spacing w:line="400" w:lineRule="exact"/>
        <w:textAlignment w:val="auto"/>
        <w:rPr>
          <w:rFonts w:ascii="楷体" w:hAnsi="楷体" w:eastAsia="楷体" w:cs="楷体"/>
          <w:sz w:val="24"/>
          <w:szCs w:val="24"/>
          <w:u w:val="single"/>
        </w:rPr>
      </w:pPr>
      <w:r>
        <w:rPr>
          <w:rFonts w:hint="eastAsia" w:ascii="楷体" w:hAnsi="楷体" w:eastAsia="楷体" w:cs="楷体"/>
          <w:sz w:val="24"/>
          <w:szCs w:val="24"/>
          <w:lang w:bidi="ar"/>
        </w:rPr>
        <w:t>地址：</w:t>
      </w:r>
      <w:r>
        <w:rPr>
          <w:rFonts w:hint="eastAsia" w:ascii="楷体" w:hAnsi="楷体" w:eastAsia="楷体" w:cs="楷体"/>
          <w:sz w:val="24"/>
          <w:szCs w:val="24"/>
          <w:u w:val="single"/>
          <w:lang w:bidi="ar"/>
        </w:rPr>
        <w:t>广东省东莞市麻涌镇海心沙路1号</w:t>
      </w:r>
    </w:p>
    <w:p w14:paraId="6103499C">
      <w:pPr>
        <w:keepNext w:val="0"/>
        <w:keepLines w:val="0"/>
        <w:pageBreakBefore w:val="0"/>
        <w:kinsoku/>
        <w:wordWrap/>
        <w:overflowPunct/>
        <w:topLinePunct w:val="0"/>
        <w:autoSpaceDE/>
        <w:autoSpaceDN/>
        <w:bidi w:val="0"/>
        <w:spacing w:line="400" w:lineRule="exact"/>
        <w:textAlignment w:val="auto"/>
        <w:rPr>
          <w:rFonts w:ascii="楷体" w:hAnsi="楷体" w:eastAsia="楷体" w:cs="楷体"/>
          <w:sz w:val="24"/>
          <w:szCs w:val="24"/>
          <w:u w:val="single"/>
        </w:rPr>
      </w:pPr>
      <w:r>
        <w:rPr>
          <w:rFonts w:hint="eastAsia" w:ascii="楷体" w:hAnsi="楷体" w:eastAsia="楷体" w:cs="楷体"/>
          <w:sz w:val="24"/>
          <w:szCs w:val="24"/>
          <w:lang w:bidi="ar"/>
        </w:rPr>
        <w:t>联络人：</w:t>
      </w:r>
      <w:r>
        <w:rPr>
          <w:rFonts w:hint="eastAsia" w:ascii="楷体" w:hAnsi="楷体" w:eastAsia="楷体" w:cs="楷体"/>
          <w:sz w:val="24"/>
          <w:szCs w:val="24"/>
          <w:u w:val="single"/>
          <w:lang w:bidi="ar"/>
        </w:rPr>
        <w:t xml:space="preserve">  </w:t>
      </w:r>
      <w:r>
        <w:rPr>
          <w:rFonts w:ascii="楷体" w:hAnsi="楷体" w:eastAsia="楷体" w:cs="楷体"/>
          <w:sz w:val="24"/>
          <w:szCs w:val="24"/>
          <w:u w:val="single"/>
          <w:lang w:bidi="ar"/>
        </w:rPr>
        <w:t xml:space="preserve">  </w:t>
      </w:r>
      <w:r>
        <w:rPr>
          <w:rFonts w:hint="eastAsia" w:ascii="楷体" w:hAnsi="楷体" w:eastAsia="楷体" w:cs="楷体"/>
          <w:sz w:val="24"/>
          <w:szCs w:val="24"/>
          <w:u w:val="single"/>
          <w:lang w:bidi="ar"/>
        </w:rPr>
        <w:t xml:space="preserve"> </w:t>
      </w:r>
      <w:r>
        <w:rPr>
          <w:rFonts w:hint="eastAsia" w:ascii="楷体" w:hAnsi="楷体" w:eastAsia="楷体" w:cs="楷体"/>
          <w:sz w:val="24"/>
          <w:szCs w:val="24"/>
          <w:lang w:bidi="ar"/>
        </w:rPr>
        <w:t>电话：</w:t>
      </w:r>
      <w:r>
        <w:rPr>
          <w:rFonts w:hint="eastAsia" w:ascii="楷体" w:hAnsi="楷体" w:eastAsia="楷体" w:cs="楷体"/>
          <w:sz w:val="24"/>
          <w:szCs w:val="24"/>
          <w:u w:val="single"/>
          <w:lang w:bidi="ar"/>
        </w:rPr>
        <w:t xml:space="preserve"> </w:t>
      </w:r>
      <w:r>
        <w:rPr>
          <w:rFonts w:ascii="楷体" w:hAnsi="楷体" w:eastAsia="楷体" w:cs="楷体"/>
          <w:sz w:val="24"/>
          <w:szCs w:val="24"/>
          <w:u w:val="single"/>
          <w:lang w:bidi="ar"/>
        </w:rPr>
        <w:t xml:space="preserve">     </w:t>
      </w:r>
    </w:p>
    <w:p w14:paraId="56DBBF98">
      <w:pPr>
        <w:keepNext w:val="0"/>
        <w:keepLines w:val="0"/>
        <w:pageBreakBefore w:val="0"/>
        <w:kinsoku/>
        <w:wordWrap/>
        <w:overflowPunct/>
        <w:topLinePunct w:val="0"/>
        <w:autoSpaceDE/>
        <w:autoSpaceDN/>
        <w:bidi w:val="0"/>
        <w:spacing w:line="400" w:lineRule="exact"/>
        <w:textAlignment w:val="auto"/>
        <w:rPr>
          <w:rFonts w:ascii="楷体" w:hAnsi="楷体" w:eastAsia="楷体" w:cs="楷体"/>
          <w:sz w:val="24"/>
          <w:szCs w:val="24"/>
        </w:rPr>
      </w:pPr>
    </w:p>
    <w:p w14:paraId="0D35275B">
      <w:pPr>
        <w:keepNext w:val="0"/>
        <w:keepLines w:val="0"/>
        <w:pageBreakBefore w:val="0"/>
        <w:kinsoku/>
        <w:wordWrap/>
        <w:overflowPunct/>
        <w:topLinePunct w:val="0"/>
        <w:autoSpaceDE/>
        <w:autoSpaceDN/>
        <w:bidi w:val="0"/>
        <w:spacing w:line="400" w:lineRule="exact"/>
        <w:textAlignment w:val="auto"/>
        <w:rPr>
          <w:rFonts w:ascii="楷体" w:hAnsi="楷体" w:eastAsia="楷体" w:cs="楷体"/>
          <w:sz w:val="24"/>
          <w:szCs w:val="24"/>
          <w:lang w:bidi="ar"/>
        </w:rPr>
      </w:pPr>
      <w:r>
        <w:rPr>
          <w:rFonts w:hint="eastAsia" w:ascii="楷体" w:hAnsi="楷体" w:eastAsia="楷体" w:cs="楷体"/>
          <w:sz w:val="24"/>
          <w:szCs w:val="24"/>
          <w:lang w:bidi="ar"/>
        </w:rPr>
        <w:t>乙方：</w:t>
      </w:r>
      <w:r>
        <w:rPr>
          <w:rFonts w:hint="eastAsia" w:ascii="楷体" w:hAnsi="楷体" w:eastAsia="楷体" w:cs="楷体"/>
          <w:sz w:val="24"/>
          <w:szCs w:val="24"/>
          <w:u w:val="single"/>
          <w:lang w:bidi="ar"/>
        </w:rPr>
        <w:t>XXXX</w:t>
      </w:r>
      <w:r>
        <w:rPr>
          <w:rFonts w:ascii="楷体" w:hAnsi="楷体" w:eastAsia="楷体" w:cs="楷体"/>
          <w:sz w:val="24"/>
          <w:szCs w:val="24"/>
          <w:u w:val="single"/>
          <w:lang w:bidi="ar"/>
        </w:rPr>
        <w:t xml:space="preserve"> </w:t>
      </w:r>
    </w:p>
    <w:p w14:paraId="115AC88B">
      <w:pPr>
        <w:keepNext w:val="0"/>
        <w:keepLines w:val="0"/>
        <w:pageBreakBefore w:val="0"/>
        <w:kinsoku/>
        <w:wordWrap/>
        <w:overflowPunct/>
        <w:topLinePunct w:val="0"/>
        <w:autoSpaceDE/>
        <w:autoSpaceDN/>
        <w:bidi w:val="0"/>
        <w:spacing w:line="400" w:lineRule="exact"/>
        <w:textAlignment w:val="auto"/>
        <w:rPr>
          <w:rFonts w:ascii="楷体" w:hAnsi="楷体" w:eastAsia="楷体" w:cs="楷体"/>
          <w:sz w:val="24"/>
          <w:szCs w:val="24"/>
          <w:lang w:bidi="ar"/>
        </w:rPr>
      </w:pPr>
      <w:r>
        <w:rPr>
          <w:rFonts w:hint="eastAsia" w:ascii="楷体" w:hAnsi="楷体" w:eastAsia="楷体" w:cs="楷体"/>
          <w:sz w:val="24"/>
          <w:szCs w:val="24"/>
          <w:lang w:bidi="ar"/>
        </w:rPr>
        <w:t>地址：</w:t>
      </w:r>
      <w:r>
        <w:rPr>
          <w:rFonts w:hint="eastAsia" w:ascii="楷体" w:hAnsi="楷体" w:eastAsia="楷体" w:cs="楷体"/>
          <w:sz w:val="24"/>
          <w:szCs w:val="24"/>
          <w:u w:val="single"/>
          <w:lang w:bidi="ar"/>
        </w:rPr>
        <w:t>XXX</w:t>
      </w:r>
    </w:p>
    <w:p w14:paraId="4CE4C441">
      <w:pPr>
        <w:keepNext w:val="0"/>
        <w:keepLines w:val="0"/>
        <w:pageBreakBefore w:val="0"/>
        <w:kinsoku/>
        <w:wordWrap/>
        <w:overflowPunct/>
        <w:topLinePunct w:val="0"/>
        <w:autoSpaceDE/>
        <w:autoSpaceDN/>
        <w:bidi w:val="0"/>
        <w:spacing w:line="400" w:lineRule="exact"/>
        <w:textAlignment w:val="auto"/>
        <w:rPr>
          <w:rFonts w:ascii="楷体" w:hAnsi="楷体" w:eastAsia="楷体" w:cs="楷体"/>
          <w:sz w:val="24"/>
          <w:szCs w:val="24"/>
          <w:lang w:bidi="ar"/>
        </w:rPr>
      </w:pPr>
      <w:r>
        <w:rPr>
          <w:rFonts w:hint="eastAsia" w:ascii="楷体" w:hAnsi="楷体" w:eastAsia="楷体" w:cs="楷体"/>
          <w:sz w:val="24"/>
          <w:szCs w:val="24"/>
          <w:lang w:bidi="ar"/>
        </w:rPr>
        <w:t>联络人：</w:t>
      </w:r>
      <w:r>
        <w:rPr>
          <w:rFonts w:hint="eastAsia" w:ascii="楷体" w:hAnsi="楷体" w:eastAsia="楷体" w:cs="楷体"/>
          <w:sz w:val="24"/>
          <w:szCs w:val="24"/>
          <w:u w:val="single"/>
          <w:lang w:bidi="ar"/>
        </w:rPr>
        <w:t xml:space="preserve"> </w:t>
      </w:r>
      <w:r>
        <w:rPr>
          <w:rFonts w:hint="eastAsia" w:ascii="楷体" w:hAnsi="楷体" w:eastAsia="楷体" w:cs="楷体"/>
          <w:sz w:val="24"/>
          <w:u w:val="single"/>
          <w:lang w:bidi="ar"/>
        </w:rPr>
        <w:t xml:space="preserve"> </w:t>
      </w:r>
      <w:r>
        <w:rPr>
          <w:rFonts w:ascii="楷体" w:hAnsi="楷体" w:eastAsia="楷体" w:cs="楷体"/>
          <w:sz w:val="24"/>
          <w:u w:val="single"/>
          <w:lang w:bidi="ar"/>
        </w:rPr>
        <w:t xml:space="preserve">  </w:t>
      </w:r>
      <w:r>
        <w:rPr>
          <w:rFonts w:hint="eastAsia" w:ascii="楷体" w:hAnsi="楷体" w:eastAsia="楷体" w:cs="楷体"/>
          <w:sz w:val="24"/>
          <w:szCs w:val="24"/>
          <w:u w:val="single"/>
          <w:lang w:bidi="ar"/>
        </w:rPr>
        <w:t xml:space="preserve"> </w:t>
      </w:r>
      <w:r>
        <w:rPr>
          <w:rFonts w:hint="eastAsia" w:ascii="楷体" w:hAnsi="楷体" w:eastAsia="楷体" w:cs="楷体"/>
          <w:sz w:val="24"/>
          <w:szCs w:val="24"/>
          <w:lang w:bidi="ar"/>
        </w:rPr>
        <w:t>电话：</w:t>
      </w:r>
      <w:r>
        <w:rPr>
          <w:rFonts w:hint="eastAsia" w:ascii="楷体" w:hAnsi="楷体" w:eastAsia="楷体" w:cs="楷体"/>
          <w:sz w:val="24"/>
          <w:szCs w:val="24"/>
          <w:u w:val="single"/>
          <w:lang w:bidi="ar"/>
        </w:rPr>
        <w:t xml:space="preserve"> </w:t>
      </w:r>
      <w:r>
        <w:rPr>
          <w:rFonts w:ascii="楷体" w:hAnsi="楷体" w:eastAsia="楷体" w:cs="楷体"/>
          <w:sz w:val="24"/>
          <w:szCs w:val="24"/>
          <w:u w:val="single"/>
          <w:lang w:bidi="ar"/>
        </w:rPr>
        <w:t xml:space="preserve">      </w:t>
      </w:r>
    </w:p>
    <w:p w14:paraId="6B6D33E6">
      <w:pPr>
        <w:keepNext w:val="0"/>
        <w:keepLines w:val="0"/>
        <w:pageBreakBefore w:val="0"/>
        <w:kinsoku/>
        <w:wordWrap/>
        <w:overflowPunct/>
        <w:topLinePunct w:val="0"/>
        <w:autoSpaceDE/>
        <w:autoSpaceDN/>
        <w:bidi w:val="0"/>
        <w:adjustRightInd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为了切实加强对建设项目施工现场的安全管理，进一步明确甲乙双方的安全管理责任，防止发生建设工程施工安全事故，依照《中华人民共和国民法典》《中华人民共和国安全生产法》、国务院《建设工程安全生产管理条例》及其它相关法律、法规规定，遵循平等、自愿、公平和依法管理的原则，在甲乙双方签订的</w:t>
      </w:r>
      <w:r>
        <w:rPr>
          <w:rFonts w:hint="eastAsia" w:ascii="楷体" w:hAnsi="楷体" w:eastAsia="楷体" w:cs="楷体"/>
          <w:sz w:val="24"/>
          <w:szCs w:val="24"/>
          <w:u w:val="single"/>
          <w:lang w:bidi="ar"/>
        </w:rPr>
        <w:t>《</w:t>
      </w:r>
      <w:r>
        <w:rPr>
          <w:rFonts w:hint="eastAsia" w:ascii="楷体" w:hAnsi="楷体" w:eastAsia="楷体" w:cs="楷体"/>
          <w:sz w:val="24"/>
          <w:u w:val="single"/>
          <w:lang w:val="en-US" w:eastAsia="zh-CN" w:bidi="ar"/>
        </w:rPr>
        <w:t>东莞市新东欣环保投资有限公司废水车间蒸发器清洗服务项目合同</w:t>
      </w:r>
      <w:r>
        <w:rPr>
          <w:rFonts w:hint="eastAsia" w:ascii="楷体" w:hAnsi="楷体" w:eastAsia="楷体" w:cs="楷体"/>
          <w:sz w:val="24"/>
          <w:szCs w:val="24"/>
          <w:u w:val="single"/>
          <w:lang w:bidi="ar"/>
        </w:rPr>
        <w:t>》</w:t>
      </w:r>
      <w:r>
        <w:rPr>
          <w:rFonts w:hint="eastAsia" w:ascii="楷体" w:hAnsi="楷体" w:eastAsia="楷体" w:cs="楷体"/>
          <w:sz w:val="24"/>
          <w:szCs w:val="24"/>
          <w:lang w:bidi="ar"/>
        </w:rPr>
        <w:t>合同（以下简称原合同）基础上，共同协商一致，签订本安全管理协议书（以下简称本协议）。</w:t>
      </w:r>
    </w:p>
    <w:p w14:paraId="3FF0E4A9">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b/>
          <w:sz w:val="24"/>
          <w:szCs w:val="24"/>
        </w:rPr>
      </w:pPr>
      <w:r>
        <w:rPr>
          <w:rFonts w:hint="eastAsia" w:ascii="楷体" w:hAnsi="楷体" w:eastAsia="楷体" w:cs="楷体"/>
          <w:b/>
          <w:sz w:val="24"/>
          <w:szCs w:val="24"/>
          <w:lang w:bidi="ar"/>
        </w:rPr>
        <w:t>第一条 基本情况</w:t>
      </w:r>
    </w:p>
    <w:p w14:paraId="4F765F37">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lang w:bidi="ar"/>
        </w:rPr>
      </w:pPr>
      <w:r>
        <w:rPr>
          <w:rFonts w:hint="eastAsia" w:ascii="楷体" w:hAnsi="楷体" w:eastAsia="楷体" w:cs="楷体"/>
          <w:sz w:val="24"/>
          <w:szCs w:val="24"/>
          <w:lang w:bidi="ar"/>
        </w:rPr>
        <w:t>1.1 项目名称：</w:t>
      </w:r>
      <w:r>
        <w:rPr>
          <w:rFonts w:hint="eastAsia" w:ascii="楷体" w:hAnsi="楷体" w:eastAsia="楷体" w:cs="楷体"/>
          <w:sz w:val="24"/>
          <w:lang w:val="en-US" w:eastAsia="zh-CN" w:bidi="ar"/>
        </w:rPr>
        <w:t>东莞市新东欣环保投资有限公司废水车间蒸发器清洗服务项目合同</w:t>
      </w:r>
    </w:p>
    <w:p w14:paraId="4175E79B">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1.2 地点与范围：</w:t>
      </w:r>
      <w:r>
        <w:rPr>
          <w:rFonts w:hint="eastAsia" w:ascii="楷体" w:hAnsi="楷体" w:eastAsia="楷体" w:cs="楷体"/>
          <w:sz w:val="24"/>
          <w:szCs w:val="24"/>
          <w:u w:val="single"/>
          <w:lang w:bidi="ar"/>
        </w:rPr>
        <w:t>详见原合同。</w:t>
      </w:r>
    </w:p>
    <w:p w14:paraId="5957AA1D">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1.3 承包主要内容：</w:t>
      </w:r>
      <w:r>
        <w:rPr>
          <w:rFonts w:hint="eastAsia" w:ascii="楷体" w:hAnsi="楷体" w:eastAsia="楷体" w:cs="楷体"/>
          <w:sz w:val="24"/>
          <w:szCs w:val="24"/>
          <w:u w:val="single"/>
          <w:lang w:bidi="ar"/>
        </w:rPr>
        <w:t>详见原合同。</w:t>
      </w:r>
    </w:p>
    <w:p w14:paraId="6DCF30C4">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u w:val="single"/>
        </w:rPr>
      </w:pPr>
      <w:r>
        <w:rPr>
          <w:rFonts w:hint="eastAsia" w:ascii="楷体" w:hAnsi="楷体" w:eastAsia="楷体" w:cs="楷体"/>
          <w:sz w:val="24"/>
          <w:szCs w:val="24"/>
          <w:lang w:bidi="ar"/>
        </w:rPr>
        <w:t>1.4 工程工期：</w:t>
      </w:r>
      <w:r>
        <w:rPr>
          <w:rFonts w:hint="eastAsia" w:ascii="楷体" w:hAnsi="楷体" w:eastAsia="楷体" w:cs="楷体"/>
          <w:sz w:val="24"/>
          <w:szCs w:val="24"/>
          <w:u w:val="single"/>
          <w:lang w:bidi="ar"/>
        </w:rPr>
        <w:t>详见原合同。</w:t>
      </w:r>
    </w:p>
    <w:p w14:paraId="12F5A926">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b/>
          <w:bCs/>
          <w:sz w:val="24"/>
          <w:szCs w:val="24"/>
        </w:rPr>
      </w:pPr>
      <w:r>
        <w:rPr>
          <w:rFonts w:hint="eastAsia" w:ascii="楷体" w:hAnsi="楷体" w:eastAsia="楷体" w:cs="楷体"/>
          <w:b/>
          <w:bCs/>
          <w:sz w:val="24"/>
          <w:szCs w:val="24"/>
          <w:lang w:bidi="ar"/>
        </w:rPr>
        <w:t>第二条 乙方资质</w:t>
      </w:r>
    </w:p>
    <w:p w14:paraId="4A636DDD">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2.1 乙方应将资质、资格证书、安全有关资料原件呈送甲方，并对资料真实性负责，审核通过后报送甲方进行复核、备案。</w:t>
      </w:r>
    </w:p>
    <w:p w14:paraId="7BCDEB1D">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b/>
          <w:bCs/>
          <w:sz w:val="24"/>
          <w:szCs w:val="24"/>
        </w:rPr>
      </w:pPr>
      <w:r>
        <w:rPr>
          <w:rFonts w:hint="eastAsia" w:ascii="楷体" w:hAnsi="楷体" w:eastAsia="楷体" w:cs="楷体"/>
          <w:b/>
          <w:bCs/>
          <w:sz w:val="24"/>
          <w:szCs w:val="24"/>
          <w:lang w:bidi="ar"/>
        </w:rPr>
        <w:t>第三条 乙方承包项目负责人及安全管理人员</w:t>
      </w:r>
    </w:p>
    <w:p w14:paraId="352188E8">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bCs/>
          <w:sz w:val="24"/>
          <w:szCs w:val="24"/>
        </w:rPr>
      </w:pPr>
      <w:r>
        <w:rPr>
          <w:rFonts w:hint="eastAsia" w:ascii="楷体" w:hAnsi="楷体" w:eastAsia="楷体" w:cs="楷体"/>
          <w:bCs/>
          <w:sz w:val="24"/>
          <w:szCs w:val="24"/>
          <w:lang w:bidi="ar"/>
        </w:rPr>
        <w:t>3.1 乙方项目负责人：</w:t>
      </w:r>
      <w:r>
        <w:rPr>
          <w:rFonts w:hint="eastAsia" w:ascii="楷体" w:hAnsi="楷体" w:eastAsia="楷体" w:cs="楷体"/>
          <w:bCs/>
          <w:sz w:val="24"/>
          <w:szCs w:val="24"/>
          <w:u w:val="single"/>
          <w:lang w:bidi="ar"/>
        </w:rPr>
        <w:t xml:space="preserve"> </w:t>
      </w:r>
      <w:r>
        <w:rPr>
          <w:rFonts w:hint="eastAsia" w:ascii="楷体" w:hAnsi="楷体" w:eastAsia="楷体" w:cs="楷体"/>
          <w:sz w:val="24"/>
          <w:u w:val="single"/>
          <w:lang w:bidi="ar"/>
        </w:rPr>
        <w:t>XXX</w:t>
      </w:r>
      <w:r>
        <w:rPr>
          <w:rFonts w:hint="eastAsia" w:ascii="楷体" w:hAnsi="楷体" w:eastAsia="楷体" w:cs="楷体"/>
          <w:bCs/>
          <w:sz w:val="24"/>
          <w:szCs w:val="24"/>
          <w:u w:val="single"/>
          <w:lang w:bidi="ar"/>
        </w:rPr>
        <w:t xml:space="preserve"> </w:t>
      </w:r>
      <w:r>
        <w:rPr>
          <w:rFonts w:hint="eastAsia" w:ascii="楷体" w:hAnsi="楷体" w:eastAsia="楷体" w:cs="楷体"/>
          <w:bCs/>
          <w:sz w:val="24"/>
          <w:szCs w:val="24"/>
          <w:lang w:bidi="ar"/>
        </w:rPr>
        <w:t xml:space="preserve"> 电话：</w:t>
      </w:r>
      <w:r>
        <w:rPr>
          <w:rFonts w:hint="eastAsia" w:ascii="楷体" w:hAnsi="楷体" w:eastAsia="楷体" w:cs="楷体"/>
          <w:bCs/>
          <w:sz w:val="24"/>
          <w:szCs w:val="24"/>
          <w:u w:val="single"/>
          <w:lang w:bidi="ar"/>
        </w:rPr>
        <w:t xml:space="preserve"> </w:t>
      </w:r>
      <w:r>
        <w:rPr>
          <w:rFonts w:ascii="楷体" w:hAnsi="楷体" w:eastAsia="楷体" w:cs="楷体"/>
          <w:sz w:val="24"/>
          <w:szCs w:val="24"/>
          <w:u w:val="single"/>
          <w:lang w:bidi="ar"/>
        </w:rPr>
        <w:t xml:space="preserve">       </w:t>
      </w:r>
      <w:r>
        <w:rPr>
          <w:rFonts w:hint="eastAsia" w:ascii="楷体" w:hAnsi="楷体" w:eastAsia="楷体" w:cs="楷体"/>
          <w:bCs/>
          <w:sz w:val="24"/>
          <w:szCs w:val="24"/>
          <w:u w:val="single"/>
          <w:lang w:bidi="ar"/>
        </w:rPr>
        <w:t xml:space="preserve"> </w:t>
      </w:r>
      <w:r>
        <w:rPr>
          <w:rFonts w:hint="eastAsia" w:ascii="楷体" w:hAnsi="楷体" w:eastAsia="楷体" w:cs="楷体"/>
          <w:bCs/>
          <w:sz w:val="24"/>
          <w:szCs w:val="24"/>
          <w:lang w:bidi="ar"/>
        </w:rPr>
        <w:t xml:space="preserve"> ；</w:t>
      </w:r>
    </w:p>
    <w:p w14:paraId="35F0F105">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b/>
          <w:bCs/>
          <w:sz w:val="24"/>
          <w:szCs w:val="24"/>
        </w:rPr>
      </w:pPr>
      <w:r>
        <w:rPr>
          <w:rFonts w:hint="eastAsia" w:ascii="楷体" w:hAnsi="楷体" w:eastAsia="楷体" w:cs="楷体"/>
          <w:b/>
          <w:bCs/>
          <w:sz w:val="24"/>
          <w:szCs w:val="24"/>
          <w:lang w:bidi="ar"/>
        </w:rPr>
        <w:t xml:space="preserve">第四条 甲方的权利和义务 </w:t>
      </w:r>
    </w:p>
    <w:p w14:paraId="4545C22F">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4.1 甲方或甲方委托方审查乙方的营业执照、资质证书、作业人员有效证件、安全管理制度和机械安全防护设施及检测情况等，并需要对原件和复印件进行核对无误，对复印件加盖与原件一致；</w:t>
      </w:r>
    </w:p>
    <w:p w14:paraId="13F8047D">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4.2 甲方或甲方委托方对乙方所制定的安全操作规程和应急预案进行审查、审批和检查落实，对无方案、无措施和措施落实不到位的有权停止施工，限期整改，并根据具体情况进行处罚；</w:t>
      </w:r>
    </w:p>
    <w:p w14:paraId="7B148D99">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4.3 乙方编制的施工组织设计、施工安全方案、施工安全措施以及关键工序、重点环节，特种机械设备的使用专项施工方案，由甲方或甲方委托方审查同意后方可实施；</w:t>
      </w:r>
    </w:p>
    <w:p w14:paraId="05A8BEE4">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4.4 甲方或甲方委托方对乙方作业人员资格进行验证，禁止非相关作业人员从事特种作业；</w:t>
      </w:r>
    </w:p>
    <w:p w14:paraId="5F36BFA3">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4.5 因乙方不遵守本协议条款，造成安全事故的发生，甲方有权取消乙方承包资格，并终止原合同，因此产生的责任（包括但不限于民事责任、刑事责任及行政责任）由乙方承担，并且须根据原合同及本协议相关规定向乙方承担违约责任；</w:t>
      </w:r>
    </w:p>
    <w:p w14:paraId="7692C9D4">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4.6 甲方或甲方委托方有权依据国家安全政策、法规和各项安全技术操作规程对乙方安全进行监督、检查和管理，有权纠正和制止乙方违规、违章行为，并根据具体情况进行处罚。甲方或甲方委托方发现乙方存在工程安全隐患，有权责令乙方限期整改；对存在重大工程安全隐患的，甲方或甲方委托方有权责令乙方立即停工整改，待隐患消除后方可复工；</w:t>
      </w:r>
    </w:p>
    <w:p w14:paraId="7667F230">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4.7甲方或甲方委托方建立由甲方、乙方共同参加的安全例会制度，定期分析工程安全动态，协助乙方制定保障安全施工的方案和措施。安全例会应形成会议记录或会议纪要；</w:t>
      </w:r>
    </w:p>
    <w:p w14:paraId="66D45513">
      <w:pPr>
        <w:keepNext w:val="0"/>
        <w:keepLines w:val="0"/>
        <w:pageBreakBefore w:val="0"/>
        <w:kinsoku/>
        <w:wordWrap/>
        <w:overflowPunct/>
        <w:topLinePunct w:val="0"/>
        <w:autoSpaceDE/>
        <w:autoSpaceDN/>
        <w:bidi w:val="0"/>
        <w:snapToGrid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4.8乙方发生事故时，甲方或甲方委托方应提供支持和帮助，发生人身伤害事故时，要积极配合抢救，并提供其他便利条件；</w:t>
      </w:r>
    </w:p>
    <w:p w14:paraId="285D6563">
      <w:pPr>
        <w:keepNext w:val="0"/>
        <w:keepLines w:val="0"/>
        <w:pageBreakBefore w:val="0"/>
        <w:kinsoku/>
        <w:wordWrap/>
        <w:overflowPunct/>
        <w:topLinePunct w:val="0"/>
        <w:autoSpaceDE/>
        <w:autoSpaceDN/>
        <w:bidi w:val="0"/>
        <w:snapToGrid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4.9甲方或甲方委托方不得指派乙方人员从事原合同外的施工任务。</w:t>
      </w:r>
    </w:p>
    <w:p w14:paraId="76EBE231">
      <w:pPr>
        <w:keepNext w:val="0"/>
        <w:keepLines w:val="0"/>
        <w:pageBreakBefore w:val="0"/>
        <w:kinsoku/>
        <w:wordWrap/>
        <w:overflowPunct/>
        <w:topLinePunct w:val="0"/>
        <w:autoSpaceDE/>
        <w:autoSpaceDN/>
        <w:bidi w:val="0"/>
        <w:snapToGrid w:val="0"/>
        <w:spacing w:line="400" w:lineRule="exact"/>
        <w:ind w:firstLine="480" w:firstLineChars="200"/>
        <w:textAlignment w:val="auto"/>
        <w:rPr>
          <w:rFonts w:ascii="楷体" w:hAnsi="楷体" w:eastAsia="楷体" w:cs="楷体"/>
          <w:b/>
          <w:bCs/>
          <w:sz w:val="24"/>
          <w:szCs w:val="24"/>
        </w:rPr>
      </w:pPr>
      <w:r>
        <w:rPr>
          <w:rFonts w:hint="eastAsia" w:ascii="楷体" w:hAnsi="楷体" w:eastAsia="楷体" w:cs="楷体"/>
          <w:b/>
          <w:bCs/>
          <w:sz w:val="24"/>
          <w:szCs w:val="24"/>
          <w:lang w:bidi="ar"/>
        </w:rPr>
        <w:t>第五条 乙方的权利和义务</w:t>
      </w:r>
    </w:p>
    <w:p w14:paraId="25E0216C">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b/>
          <w:bCs/>
          <w:sz w:val="24"/>
          <w:szCs w:val="24"/>
        </w:rPr>
      </w:pPr>
      <w:r>
        <w:rPr>
          <w:rFonts w:hint="eastAsia" w:ascii="楷体" w:hAnsi="楷体" w:eastAsia="楷体" w:cs="楷体"/>
          <w:sz w:val="24"/>
          <w:szCs w:val="24"/>
          <w:shd w:val="clear" w:color="auto" w:fill="FFFFFF"/>
          <w:lang w:bidi="ar"/>
        </w:rPr>
        <w:t>5.1 乙方负责人是承包项目第一责任人，对本协议工程安全负全面责任；</w:t>
      </w:r>
    </w:p>
    <w:p w14:paraId="1A00816D">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5.2 乙方应认真贯彻执行国家安全生产政策、法规和行业安全规程、规定及甲方制定的各项安全管理制度，自觉遵守本协议；</w:t>
      </w:r>
    </w:p>
    <w:p w14:paraId="11CE8AAF">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kern w:val="0"/>
          <w:sz w:val="24"/>
          <w:szCs w:val="24"/>
          <w:lang w:bidi="ar"/>
        </w:rPr>
        <w:t>5.3 乙方自备及租赁的各类施工机械设备，必须符合国家技术标准和行业技术标准，且机械性能良好，各种安全防护装置齐全、灵敏、可靠，特种设备</w:t>
      </w:r>
      <w:r>
        <w:rPr>
          <w:rFonts w:hint="eastAsia" w:ascii="楷体" w:hAnsi="楷体" w:eastAsia="楷体" w:cs="楷体"/>
          <w:sz w:val="24"/>
          <w:szCs w:val="24"/>
          <w:lang w:bidi="ar"/>
        </w:rPr>
        <w:t>并经有资质检验部门出具的经检验符合安全规定的证明材料；</w:t>
      </w:r>
    </w:p>
    <w:p w14:paraId="07B49A5D">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5.4 乙方在施工、作业过程中应切实采取有效地安全防护措施，加强项目施工作业的安全管理工作，防止各类安全事故的发生，保证人身及财产安全；</w:t>
      </w:r>
    </w:p>
    <w:p w14:paraId="4235CDFB">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5.5 乙方必须坚持“管生产必须管安全”的原则，做到安全工作与生产“五同时”（即计划、布置、检查、总结、考核）；</w:t>
      </w:r>
    </w:p>
    <w:p w14:paraId="06ADB81E">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5.6 乙方应建立安全生产保证体系及安全组织机构，设置专职安全生产管理人员，健全现场安全生产责任制及相应的安全奖惩办法；</w:t>
      </w:r>
    </w:p>
    <w:p w14:paraId="1D5E9B06">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5.7 乙方项目负责人、专职安全生产管理人员和特种作业人员应按照国家有关规定经过培训考核合格后，持相关安全管理部门核发的、有效的资格证书上岗；</w:t>
      </w:r>
    </w:p>
    <w:p w14:paraId="667EF8EC">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5.8 乙方投入施工现场的全部机械设备及各类工具，必须经检验合格，符合国家相关标准并遵守相关操作规程；</w:t>
      </w:r>
    </w:p>
    <w:p w14:paraId="34A892EA">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5.9 乙方必须为作业人员办理工伤保险或意外伤害保险（不少于120万保额），并提供真实证明材料；</w:t>
      </w:r>
    </w:p>
    <w:p w14:paraId="56EABF92">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5.10 乙方根据工作现场特点在生产组织中编制安全施工方案或安全施工技术方案；</w:t>
      </w:r>
    </w:p>
    <w:p w14:paraId="1A769023">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5.11 乙方做好工作人员的安全教育和安全技术交底工作，保证上岗作业人员经安全教育，未经安全教育者不得进场施工；</w:t>
      </w:r>
    </w:p>
    <w:p w14:paraId="74DBC589">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5.12 乙方应购置配备安全防护设施和劳动保护用品，其使用要求符合国家标准，对不合格者，甲方有权要求整改，并根据具体情况进行处罚；</w:t>
      </w:r>
    </w:p>
    <w:p w14:paraId="769ADED5">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5.13 乙方在施工过程中对人的不安全行为，物的不安全状态，作业环境的不安全因素和管理上的缺陷进行控制。杜绝违章指挥、违章作业现象存在；</w:t>
      </w:r>
    </w:p>
    <w:p w14:paraId="2CB80B29">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5.14 乙方应做好上岗人员安全教育培训档案管理工作，培训记录和安全考试卷必须保存完整、齐全；</w:t>
      </w:r>
    </w:p>
    <w:p w14:paraId="61776CA3">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5.15 乙方要定期做好生产现场的安全检查工作，对安全隐患及时整改。对甲方检查后下达的安全检查整改通知单应无条件整改；</w:t>
      </w:r>
    </w:p>
    <w:p w14:paraId="0AABC5BF">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5.16 乙方有责任向甲方提出安全合理化建议，有义务完成甲方安排的有利于安全工作的其他要求；</w:t>
      </w:r>
    </w:p>
    <w:p w14:paraId="7A291419">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5.17 乙方在生产过程中发生安全事故，应按照国家相关安全事故报告和调查处理的规定，及时如实上报甲方，不得发生迟报、瞒报、谎报现象，甲方将保留对其追究法律责任的权利；</w:t>
      </w:r>
    </w:p>
    <w:p w14:paraId="156709E0">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5.18 乙方在安全事故发生后，应当采取相应措施防止事故扩大，保护事故现场；按照事故处理“四不放过”的原则（即事故原因不清楚不放过、事故责任者和应受到教育者没有受到教育不放过、没有采取防范措施不放过、事故责任者没有受到处理不放过）进行调查、处理，同时，做好事故的善后处理；如因乙方在安全事故发生后，并未采取相应措施导致安全事故及人员事故扩大的，以及造成甲方现场产生的经济损失的，由乙方承担所有责任，甲方将保留对其追究法律责任的权利；</w:t>
      </w:r>
    </w:p>
    <w:p w14:paraId="45C2CA64">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5.19 乙方在施工、作业过程中必须加强安全管理，由于管理不到位造成安全事故发生，乙方必须承担全部责任，并承担由此给甲方造成的名誉及经济损失；</w:t>
      </w:r>
    </w:p>
    <w:p w14:paraId="2B491BE9">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5.20 乙方应如实的向上岗人员告知作业现场及岗位存在的危险因素、防范措施和应急处理措施；</w:t>
      </w:r>
    </w:p>
    <w:p w14:paraId="66DE72F4">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5.21 乙方生产电源的架设和水源的使用，必须服从甲方的管理，不得私自接用；</w:t>
      </w:r>
    </w:p>
    <w:p w14:paraId="7C0EB8AA">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5.22 乙方必须做好消防工作，落实岗位消防制度，防止火灾的发生。消防设施的设置要求满足消防规程的要求，严禁使用不合格或过期消防设备；</w:t>
      </w:r>
    </w:p>
    <w:p w14:paraId="554B26E0">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5.23 乙方必须做好作业现场各类车辆的交通安全工作，杜绝超速、超载、无证驾驶、酒后驾驶、疲劳驾驶等违章行为的发生；</w:t>
      </w:r>
    </w:p>
    <w:p w14:paraId="4B08A3FF">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5.24 乙方必须在作业现场重点危险部位设置醒目的安全警示标志、路标及隔离围栏等，并不定期进行检查维护，保证警示标志的整洁、完好；</w:t>
      </w:r>
    </w:p>
    <w:p w14:paraId="2EBD0E81">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5.25 乙方应加强生产现场管理，严禁闲杂人员进入生产现场，并保持生产现场良好的秩序；</w:t>
      </w:r>
    </w:p>
    <w:p w14:paraId="2291E264">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5.26 乙方必须对务工人员进行相关安全教育培训，并做好培训记录，严禁未经安全培训的人员进行相关施工作业；</w:t>
      </w:r>
    </w:p>
    <w:p w14:paraId="451CE328">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5.27 乙方</w:t>
      </w:r>
      <w:r>
        <w:rPr>
          <w:rFonts w:hint="eastAsia" w:ascii="楷体" w:hAnsi="楷体" w:eastAsia="楷体" w:cs="楷体"/>
          <w:sz w:val="24"/>
          <w:szCs w:val="24"/>
          <w:shd w:val="clear" w:color="auto" w:fill="FFFFFF"/>
          <w:lang w:bidi="ar"/>
        </w:rPr>
        <w:t>在承包工程中，实施总承包的施工单位不得将工程转包和分包给不具备安全生产条件的或者相应资质的单位和个人；</w:t>
      </w:r>
    </w:p>
    <w:p w14:paraId="23BD02E5">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5.28 乙方用于本工程项目的施工机械、工器具、安全防护用具及特种设的数量和质量必须满足施工需要，对因使用工器具不当所造成的人员伤害及设备损坏负责；</w:t>
      </w:r>
    </w:p>
    <w:p w14:paraId="6E50839E">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shd w:val="clear" w:color="auto" w:fill="FFFFFF"/>
        </w:rPr>
      </w:pPr>
      <w:r>
        <w:rPr>
          <w:rFonts w:hint="eastAsia" w:ascii="楷体" w:hAnsi="楷体" w:eastAsia="楷体" w:cs="楷体"/>
          <w:sz w:val="24"/>
          <w:szCs w:val="24"/>
          <w:shd w:val="clear" w:color="auto" w:fill="FFFFFF"/>
          <w:lang w:bidi="ar"/>
        </w:rPr>
        <w:t>5.29 乙方应在作业范围装设临时围栏或警告标志，不得超越指定的施工范围进行施工，禁止无关人员进入施工现场。未经甲方同意，乙方不得擅自使用与施工无关的甲方设施设备；不得擅自拆除、变更甲方防护设施及标识，如因工作需要拆除的，事后必须及时恢复；</w:t>
      </w:r>
    </w:p>
    <w:p w14:paraId="013C97ED">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5.30 乙方的车辆在现场发生意外，造成甲方或其它单位的财产损失或人员伤害等，应依法承担相关的赔偿、治疗等责任；</w:t>
      </w:r>
    </w:p>
    <w:p w14:paraId="288617F8">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5.31 如因乙方采取的安全措施不当，或违反有关安全规程、规定及本协议所列安全事项而造成事故的，除依法由甲方或第三方承担责任的，均应由乙方全部承担；</w:t>
      </w:r>
    </w:p>
    <w:p w14:paraId="35662DC4">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5.32 乙方需在甲方厂区住宿的，严格执行甲方公司相关制度规定，甲方只提供住宿，如有意外发生，一切后果自负；</w:t>
      </w:r>
    </w:p>
    <w:p w14:paraId="09C4511D">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 xml:space="preserve">5.33 </w:t>
      </w:r>
      <w:r>
        <w:rPr>
          <w:rFonts w:hint="eastAsia" w:ascii="楷体" w:hAnsi="楷体" w:eastAsia="楷体" w:cs="楷体"/>
          <w:sz w:val="24"/>
          <w:szCs w:val="24"/>
          <w:shd w:val="clear" w:color="auto" w:fill="FFFFFF"/>
          <w:lang w:bidi="ar"/>
        </w:rPr>
        <w:t>乙方应确保施工人员身体健康，特殊工种严格执行国家关于年龄的限制。</w:t>
      </w:r>
    </w:p>
    <w:p w14:paraId="06BAC635">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b/>
          <w:bCs/>
          <w:sz w:val="24"/>
          <w:szCs w:val="24"/>
        </w:rPr>
      </w:pPr>
      <w:r>
        <w:rPr>
          <w:rFonts w:hint="eastAsia" w:ascii="楷体" w:hAnsi="楷体" w:eastAsia="楷体" w:cs="楷体"/>
          <w:b/>
          <w:bCs/>
          <w:sz w:val="24"/>
          <w:szCs w:val="24"/>
          <w:lang w:bidi="ar"/>
        </w:rPr>
        <w:t>第六条 违约处理</w:t>
      </w:r>
    </w:p>
    <w:p w14:paraId="7D2F4F84">
      <w:pPr>
        <w:keepNext w:val="0"/>
        <w:keepLines w:val="0"/>
        <w:pageBreakBefore w:val="0"/>
        <w:kinsoku/>
        <w:wordWrap/>
        <w:overflowPunct/>
        <w:topLinePunct w:val="0"/>
        <w:autoSpaceDE/>
        <w:autoSpaceDN/>
        <w:bidi w:val="0"/>
        <w:snapToGrid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6.1 乙方在签订本协议的后，甲方相关部门如发现在施工期间乙方出现以下违反甲方安全规定以及发生“三违”行为（即违章指挥、违章操作、违反劳动纪律”）的，甲方有权依据本协议和甲方相关安全管理制度对乙方进行处罚；</w:t>
      </w:r>
    </w:p>
    <w:p w14:paraId="0DE84AB2">
      <w:pPr>
        <w:keepNext w:val="0"/>
        <w:keepLines w:val="0"/>
        <w:pageBreakBefore w:val="0"/>
        <w:tabs>
          <w:tab w:val="left" w:pos="312"/>
        </w:tabs>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6.2 乙方应提供一份公司盖章版的专项安全施工方案原件备案至甲方公司安全环境管理部门，资料内容至少包括：</w:t>
      </w:r>
    </w:p>
    <w:p w14:paraId="36E3DE8A">
      <w:pPr>
        <w:keepNext w:val="0"/>
        <w:keepLines w:val="0"/>
        <w:pageBreakBefore w:val="0"/>
        <w:numPr>
          <w:ilvl w:val="0"/>
          <w:numId w:val="1"/>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施工安全目标和计划方案；</w:t>
      </w:r>
    </w:p>
    <w:p w14:paraId="7C4752D3">
      <w:pPr>
        <w:keepNext w:val="0"/>
        <w:keepLines w:val="0"/>
        <w:pageBreakBefore w:val="0"/>
        <w:numPr>
          <w:ilvl w:val="0"/>
          <w:numId w:val="1"/>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施工人员安全生产责任制；</w:t>
      </w:r>
    </w:p>
    <w:p w14:paraId="59126730">
      <w:pPr>
        <w:keepNext w:val="0"/>
        <w:keepLines w:val="0"/>
        <w:pageBreakBefore w:val="0"/>
        <w:numPr>
          <w:ilvl w:val="0"/>
          <w:numId w:val="1"/>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施工安全管理制度；</w:t>
      </w:r>
    </w:p>
    <w:p w14:paraId="6C72C156">
      <w:pPr>
        <w:keepNext w:val="0"/>
        <w:keepLines w:val="0"/>
        <w:pageBreakBefore w:val="0"/>
        <w:numPr>
          <w:ilvl w:val="0"/>
          <w:numId w:val="1"/>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施工人员安全奖惩制度；</w:t>
      </w:r>
    </w:p>
    <w:p w14:paraId="164770E1">
      <w:pPr>
        <w:keepNext w:val="0"/>
        <w:keepLines w:val="0"/>
        <w:pageBreakBefore w:val="0"/>
        <w:numPr>
          <w:ilvl w:val="0"/>
          <w:numId w:val="1"/>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施工安全管理协议书；</w:t>
      </w:r>
    </w:p>
    <w:p w14:paraId="71F6899C">
      <w:pPr>
        <w:keepNext w:val="0"/>
        <w:keepLines w:val="0"/>
        <w:pageBreakBefore w:val="0"/>
        <w:numPr>
          <w:ilvl w:val="0"/>
          <w:numId w:val="1"/>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施工安全管理组织框架图；</w:t>
      </w:r>
    </w:p>
    <w:p w14:paraId="1776D4FD">
      <w:pPr>
        <w:keepNext w:val="0"/>
        <w:keepLines w:val="0"/>
        <w:pageBreakBefore w:val="0"/>
        <w:numPr>
          <w:ilvl w:val="0"/>
          <w:numId w:val="1"/>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施工安全管理人员登记表和任命书；</w:t>
      </w:r>
    </w:p>
    <w:p w14:paraId="7BB0959B">
      <w:pPr>
        <w:keepNext w:val="0"/>
        <w:keepLines w:val="0"/>
        <w:pageBreakBefore w:val="0"/>
        <w:numPr>
          <w:ilvl w:val="0"/>
          <w:numId w:val="1"/>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施工人员登记表；</w:t>
      </w:r>
    </w:p>
    <w:p w14:paraId="27125B66">
      <w:pPr>
        <w:keepNext w:val="0"/>
        <w:keepLines w:val="0"/>
        <w:pageBreakBefore w:val="0"/>
        <w:numPr>
          <w:ilvl w:val="0"/>
          <w:numId w:val="1"/>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施工特种作业人员登记表和特种证件复印件；</w:t>
      </w:r>
    </w:p>
    <w:p w14:paraId="7119B877">
      <w:pPr>
        <w:keepNext w:val="0"/>
        <w:keepLines w:val="0"/>
        <w:pageBreakBefore w:val="0"/>
        <w:numPr>
          <w:ilvl w:val="0"/>
          <w:numId w:val="1"/>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施工人员安全培训签到表和安全考核记录表；</w:t>
      </w:r>
    </w:p>
    <w:p w14:paraId="28728C0D">
      <w:pPr>
        <w:keepNext w:val="0"/>
        <w:keepLines w:val="0"/>
        <w:pageBreakBefore w:val="0"/>
        <w:numPr>
          <w:ilvl w:val="0"/>
          <w:numId w:val="1"/>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施工人员工伤保险或人身意外险购买凭证；</w:t>
      </w:r>
    </w:p>
    <w:p w14:paraId="663CBC1D">
      <w:pPr>
        <w:keepNext w:val="0"/>
        <w:keepLines w:val="0"/>
        <w:pageBreakBefore w:val="0"/>
        <w:numPr>
          <w:ilvl w:val="0"/>
          <w:numId w:val="1"/>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安全及应急管理制度和应急物品清单；</w:t>
      </w:r>
    </w:p>
    <w:p w14:paraId="4BFD95B8">
      <w:pPr>
        <w:keepNext w:val="0"/>
        <w:keepLines w:val="0"/>
        <w:pageBreakBefore w:val="0"/>
        <w:numPr>
          <w:ilvl w:val="0"/>
          <w:numId w:val="1"/>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安全日常隐患排查管理制度；</w:t>
      </w:r>
    </w:p>
    <w:p w14:paraId="60A7E5AA">
      <w:pPr>
        <w:keepNext w:val="0"/>
        <w:keepLines w:val="0"/>
        <w:pageBreakBefore w:val="0"/>
        <w:widowControl/>
        <w:numPr>
          <w:ilvl w:val="0"/>
          <w:numId w:val="1"/>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大型设备进场进度表；</w:t>
      </w:r>
    </w:p>
    <w:p w14:paraId="2339E79F">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以上资料应在进厂施工后5个工作日内提供完毕，逾期未提供或资料不齐全的，按《EHS管理处罚细则》相关条款实施。</w:t>
      </w:r>
    </w:p>
    <w:p w14:paraId="70FAC9ED">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6.3 乙方应提供一份公司盖章版的EHS安全施工方案原件备案至甲方公司安全环境管理部门，资料内容至少包括:</w:t>
      </w:r>
    </w:p>
    <w:p w14:paraId="6C222436">
      <w:pPr>
        <w:keepNext w:val="0"/>
        <w:keepLines w:val="0"/>
        <w:pageBreakBefore w:val="0"/>
        <w:numPr>
          <w:ilvl w:val="0"/>
          <w:numId w:val="2"/>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施工项目概况和危险源辨识及评估报告；</w:t>
      </w:r>
    </w:p>
    <w:p w14:paraId="6458879A">
      <w:pPr>
        <w:keepNext w:val="0"/>
        <w:keepLines w:val="0"/>
        <w:pageBreakBefore w:val="0"/>
        <w:numPr>
          <w:ilvl w:val="0"/>
          <w:numId w:val="2"/>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施工单位安全文明方案；</w:t>
      </w:r>
    </w:p>
    <w:p w14:paraId="1EB4F37A">
      <w:pPr>
        <w:keepNext w:val="0"/>
        <w:keepLines w:val="0"/>
        <w:pageBreakBefore w:val="0"/>
        <w:numPr>
          <w:ilvl w:val="0"/>
          <w:numId w:val="2"/>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施工现场安全标示管理制度；</w:t>
      </w:r>
    </w:p>
    <w:p w14:paraId="1AF56809">
      <w:pPr>
        <w:keepNext w:val="0"/>
        <w:keepLines w:val="0"/>
        <w:pageBreakBefore w:val="0"/>
        <w:numPr>
          <w:ilvl w:val="0"/>
          <w:numId w:val="2"/>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临时用电安全管理制度；</w:t>
      </w:r>
    </w:p>
    <w:p w14:paraId="1522D2F6">
      <w:pPr>
        <w:keepNext w:val="0"/>
        <w:keepLines w:val="0"/>
        <w:pageBreakBefore w:val="0"/>
        <w:numPr>
          <w:ilvl w:val="0"/>
          <w:numId w:val="2"/>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高处作业安全管理制度；</w:t>
      </w:r>
    </w:p>
    <w:p w14:paraId="2FC82B5F">
      <w:pPr>
        <w:keepNext w:val="0"/>
        <w:keepLines w:val="0"/>
        <w:pageBreakBefore w:val="0"/>
        <w:numPr>
          <w:ilvl w:val="0"/>
          <w:numId w:val="2"/>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动火作业安全管理制度；</w:t>
      </w:r>
    </w:p>
    <w:p w14:paraId="1CD041FC">
      <w:pPr>
        <w:keepNext w:val="0"/>
        <w:keepLines w:val="0"/>
        <w:pageBreakBefore w:val="0"/>
        <w:numPr>
          <w:ilvl w:val="0"/>
          <w:numId w:val="2"/>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吊装作业安全管理制度；</w:t>
      </w:r>
    </w:p>
    <w:p w14:paraId="164A2244">
      <w:pPr>
        <w:keepNext w:val="0"/>
        <w:keepLines w:val="0"/>
        <w:pageBreakBefore w:val="0"/>
        <w:numPr>
          <w:ilvl w:val="0"/>
          <w:numId w:val="2"/>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较大危险性工作风险清单和预防管控措施制度；</w:t>
      </w:r>
    </w:p>
    <w:p w14:paraId="2B79E74F">
      <w:pPr>
        <w:keepNext w:val="0"/>
        <w:keepLines w:val="0"/>
        <w:pageBreakBefore w:val="0"/>
        <w:numPr>
          <w:ilvl w:val="0"/>
          <w:numId w:val="2"/>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消防安全管理专项制度；</w:t>
      </w:r>
    </w:p>
    <w:p w14:paraId="25507D47">
      <w:pPr>
        <w:keepNext w:val="0"/>
        <w:keepLines w:val="0"/>
        <w:pageBreakBefore w:val="0"/>
        <w:numPr>
          <w:ilvl w:val="0"/>
          <w:numId w:val="2"/>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施工人员劳保用品佩戴管理制度；</w:t>
      </w:r>
    </w:p>
    <w:p w14:paraId="1EC0E329">
      <w:pPr>
        <w:keepNext w:val="0"/>
        <w:keepLines w:val="0"/>
        <w:pageBreakBefore w:val="0"/>
        <w:numPr>
          <w:ilvl w:val="0"/>
          <w:numId w:val="2"/>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施工人员生活区专项管理制度；</w:t>
      </w:r>
    </w:p>
    <w:p w14:paraId="3384AC47">
      <w:pPr>
        <w:keepNext w:val="0"/>
        <w:keepLines w:val="0"/>
        <w:pageBreakBefore w:val="0"/>
        <w:numPr>
          <w:ilvl w:val="0"/>
          <w:numId w:val="2"/>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职业健康安全管理制度。</w:t>
      </w:r>
    </w:p>
    <w:p w14:paraId="4AA9372B">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以上资料应在进厂施工后5个工作日内提供完毕，逾期未提供或资料不齐全的，按《EHS管理处罚细则》相关条款实施。</w:t>
      </w:r>
    </w:p>
    <w:p w14:paraId="2AEC9C0D">
      <w:pPr>
        <w:keepNext w:val="0"/>
        <w:keepLines w:val="0"/>
        <w:pageBreakBefore w:val="0"/>
        <w:kinsoku/>
        <w:wordWrap/>
        <w:overflowPunct/>
        <w:topLinePunct w:val="0"/>
        <w:autoSpaceDE/>
        <w:autoSpaceDN/>
        <w:bidi w:val="0"/>
        <w:adjustRightInd w:val="0"/>
        <w:snapToGrid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6.4 处罚细则</w:t>
      </w:r>
    </w:p>
    <w:p w14:paraId="6018FCFC">
      <w:pPr>
        <w:keepNext w:val="0"/>
        <w:keepLines w:val="0"/>
        <w:pageBreakBefore w:val="0"/>
        <w:tabs>
          <w:tab w:val="left" w:pos="312"/>
        </w:tabs>
        <w:kinsoku/>
        <w:wordWrap/>
        <w:overflowPunct/>
        <w:topLinePunct w:val="0"/>
        <w:autoSpaceDE/>
        <w:autoSpaceDN/>
        <w:bidi w:val="0"/>
        <w:adjustRightInd w:val="0"/>
        <w:snapToGrid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6.4.1安全文明施工违约处理</w:t>
      </w:r>
    </w:p>
    <w:p w14:paraId="5A96B09B">
      <w:pPr>
        <w:keepNext w:val="0"/>
        <w:keepLines w:val="0"/>
        <w:pageBreakBefore w:val="0"/>
        <w:tabs>
          <w:tab w:val="left" w:pos="312"/>
        </w:tabs>
        <w:kinsoku/>
        <w:wordWrap/>
        <w:overflowPunct/>
        <w:topLinePunct w:val="0"/>
        <w:autoSpaceDE/>
        <w:autoSpaceDN/>
        <w:bidi w:val="0"/>
        <w:adjustRightInd w:val="0"/>
        <w:snapToGrid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详见《EHS管理处罚细则》（附件1）管理规定。</w:t>
      </w:r>
    </w:p>
    <w:p w14:paraId="7C5DC6E8">
      <w:pPr>
        <w:pStyle w:val="11"/>
        <w:keepNext w:val="0"/>
        <w:keepLines w:val="0"/>
        <w:pageBreakBefore w:val="0"/>
        <w:tabs>
          <w:tab w:val="left" w:pos="312"/>
        </w:tabs>
        <w:kinsoku/>
        <w:wordWrap/>
        <w:overflowPunct/>
        <w:topLinePunct w:val="0"/>
        <w:autoSpaceDE/>
        <w:autoSpaceDN/>
        <w:bidi w:val="0"/>
        <w:adjustRightInd w:val="0"/>
        <w:snapToGrid w:val="0"/>
        <w:spacing w:beforeAutospacing="0" w:afterAutospacing="0" w:line="400" w:lineRule="exact"/>
        <w:ind w:firstLine="480" w:firstLineChars="200"/>
        <w:jc w:val="both"/>
        <w:textAlignment w:val="auto"/>
        <w:rPr>
          <w:rFonts w:ascii="楷体" w:hAnsi="楷体" w:eastAsia="楷体" w:cs="楷体"/>
        </w:rPr>
      </w:pPr>
      <w:r>
        <w:rPr>
          <w:rFonts w:hint="eastAsia" w:ascii="楷体" w:hAnsi="楷体" w:eastAsia="楷体" w:cs="楷体"/>
        </w:rPr>
        <w:t>6.4.2 事故违约处理</w:t>
      </w:r>
    </w:p>
    <w:p w14:paraId="4F826246">
      <w:pPr>
        <w:keepNext w:val="0"/>
        <w:keepLines w:val="0"/>
        <w:pageBreakBefore w:val="0"/>
        <w:tabs>
          <w:tab w:val="left" w:pos="312"/>
        </w:tabs>
        <w:kinsoku/>
        <w:wordWrap/>
        <w:overflowPunct/>
        <w:topLinePunct w:val="0"/>
        <w:autoSpaceDE/>
        <w:autoSpaceDN/>
        <w:bidi w:val="0"/>
        <w:adjustRightInd w:val="0"/>
        <w:snapToGrid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详见《事故处罚实施细则》管理规定（附件2）。</w:t>
      </w:r>
    </w:p>
    <w:p w14:paraId="03B5E0AB">
      <w:pPr>
        <w:keepNext w:val="0"/>
        <w:keepLines w:val="0"/>
        <w:pageBreakBefore w:val="0"/>
        <w:kinsoku/>
        <w:wordWrap/>
        <w:overflowPunct/>
        <w:topLinePunct w:val="0"/>
        <w:autoSpaceDE/>
        <w:autoSpaceDN/>
        <w:bidi w:val="0"/>
        <w:adjustRightInd w:val="0"/>
        <w:snapToGrid w:val="0"/>
        <w:spacing w:line="400" w:lineRule="exact"/>
        <w:ind w:firstLine="480" w:firstLineChars="200"/>
        <w:textAlignment w:val="auto"/>
        <w:rPr>
          <w:rFonts w:ascii="楷体" w:hAnsi="楷体" w:eastAsia="楷体" w:cs="楷体"/>
          <w:b/>
          <w:bCs/>
          <w:sz w:val="24"/>
          <w:szCs w:val="24"/>
        </w:rPr>
      </w:pPr>
      <w:r>
        <w:rPr>
          <w:rFonts w:hint="eastAsia" w:ascii="楷体" w:hAnsi="楷体" w:eastAsia="楷体" w:cs="楷体"/>
          <w:b/>
          <w:bCs/>
          <w:sz w:val="24"/>
          <w:szCs w:val="24"/>
          <w:lang w:bidi="ar"/>
        </w:rPr>
        <w:t>第七条 协议生效与终止</w:t>
      </w:r>
    </w:p>
    <w:p w14:paraId="5AFF7E18">
      <w:pPr>
        <w:keepNext w:val="0"/>
        <w:keepLines w:val="0"/>
        <w:pageBreakBefore w:val="0"/>
        <w:kinsoku/>
        <w:wordWrap/>
        <w:overflowPunct/>
        <w:topLinePunct w:val="0"/>
        <w:autoSpaceDE/>
        <w:autoSpaceDN/>
        <w:bidi w:val="0"/>
        <w:snapToGrid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7.1 本协议从开工之日起生效，双方共同监督执行，竣工验收后自行终止。如乙方在施工中不履行本协议的约定，违反安全施工的有关管理规定，对甲方提出的警告、停工整顿拒不执行的，甲方有权解除原合同，并无须向乙方承担违约责任。</w:t>
      </w:r>
    </w:p>
    <w:p w14:paraId="27E010C8">
      <w:pPr>
        <w:keepNext w:val="0"/>
        <w:keepLines w:val="0"/>
        <w:pageBreakBefore w:val="0"/>
        <w:kinsoku/>
        <w:wordWrap/>
        <w:overflowPunct/>
        <w:topLinePunct w:val="0"/>
        <w:autoSpaceDE/>
        <w:autoSpaceDN/>
        <w:bidi w:val="0"/>
        <w:snapToGrid w:val="0"/>
        <w:spacing w:line="400" w:lineRule="exact"/>
        <w:ind w:firstLine="480" w:firstLineChars="200"/>
        <w:textAlignment w:val="auto"/>
        <w:rPr>
          <w:rFonts w:ascii="楷体" w:hAnsi="楷体" w:eastAsia="楷体" w:cs="楷体"/>
          <w:b/>
          <w:bCs/>
          <w:sz w:val="24"/>
          <w:szCs w:val="24"/>
        </w:rPr>
      </w:pPr>
      <w:r>
        <w:rPr>
          <w:rFonts w:hint="eastAsia" w:ascii="楷体" w:hAnsi="楷体" w:eastAsia="楷体" w:cs="楷体"/>
          <w:b/>
          <w:bCs/>
          <w:sz w:val="24"/>
          <w:szCs w:val="24"/>
          <w:lang w:bidi="ar"/>
        </w:rPr>
        <w:t xml:space="preserve">第八条 </w:t>
      </w:r>
      <w:r>
        <w:rPr>
          <w:rFonts w:hint="eastAsia" w:ascii="楷体" w:hAnsi="楷体" w:eastAsia="楷体" w:cs="楷体"/>
          <w:b/>
          <w:bCs/>
          <w:kern w:val="0"/>
          <w:sz w:val="24"/>
          <w:szCs w:val="24"/>
          <w:lang w:bidi="ar"/>
        </w:rPr>
        <w:t>其它要求</w:t>
      </w:r>
    </w:p>
    <w:p w14:paraId="7658F620">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8.1 本协议履行过程中未尽事宜，按甲方有关规章制度执行。</w:t>
      </w:r>
    </w:p>
    <w:p w14:paraId="749F2ABD">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8.2 本合同一式6份，双方盖章且法定代表人签章（或授权委托人签字）后生效，甲方执4份，乙方执2份，具有同等法律效力。</w:t>
      </w:r>
    </w:p>
    <w:p w14:paraId="325A70C3">
      <w:pPr>
        <w:keepNext w:val="0"/>
        <w:keepLines w:val="0"/>
        <w:pageBreakBefore w:val="0"/>
        <w:kinsoku/>
        <w:wordWrap/>
        <w:overflowPunct/>
        <w:topLinePunct w:val="0"/>
        <w:autoSpaceDE/>
        <w:autoSpaceDN/>
        <w:bidi w:val="0"/>
        <w:spacing w:line="400" w:lineRule="exact"/>
        <w:jc w:val="center"/>
        <w:textAlignment w:val="auto"/>
        <w:rPr>
          <w:rFonts w:ascii="楷体" w:hAnsi="楷体" w:eastAsia="楷体" w:cs="楷体"/>
          <w:sz w:val="24"/>
          <w:szCs w:val="24"/>
        </w:rPr>
      </w:pPr>
      <w:r>
        <w:rPr>
          <w:rFonts w:hint="eastAsia" w:ascii="楷体" w:hAnsi="楷体" w:eastAsia="楷体" w:cs="楷体"/>
          <w:sz w:val="24"/>
          <w:szCs w:val="24"/>
          <w:lang w:bidi="ar"/>
        </w:rPr>
        <w:t>（以下无正文）</w:t>
      </w:r>
    </w:p>
    <w:p w14:paraId="11CCE547">
      <w:pPr>
        <w:spacing w:line="360" w:lineRule="auto"/>
      </w:pPr>
    </w:p>
    <w:tbl>
      <w:tblPr>
        <w:tblStyle w:val="14"/>
        <w:tblW w:w="8500" w:type="dxa"/>
        <w:jc w:val="center"/>
        <w:tblLayout w:type="fixed"/>
        <w:tblCellMar>
          <w:top w:w="0" w:type="dxa"/>
          <w:left w:w="108" w:type="dxa"/>
          <w:bottom w:w="0" w:type="dxa"/>
          <w:right w:w="108" w:type="dxa"/>
        </w:tblCellMar>
      </w:tblPr>
      <w:tblGrid>
        <w:gridCol w:w="4592"/>
        <w:gridCol w:w="3908"/>
      </w:tblGrid>
      <w:tr w14:paraId="3AF9E384">
        <w:tblPrEx>
          <w:tblCellMar>
            <w:top w:w="0" w:type="dxa"/>
            <w:left w:w="108" w:type="dxa"/>
            <w:bottom w:w="0" w:type="dxa"/>
            <w:right w:w="108" w:type="dxa"/>
          </w:tblCellMar>
        </w:tblPrEx>
        <w:trPr>
          <w:trHeight w:val="744" w:hRule="atLeast"/>
          <w:jc w:val="center"/>
        </w:trPr>
        <w:tc>
          <w:tcPr>
            <w:tcW w:w="4592" w:type="dxa"/>
            <w:shd w:val="clear" w:color="auto" w:fill="auto"/>
          </w:tcPr>
          <w:p w14:paraId="7592D588">
            <w:pPr>
              <w:tabs>
                <w:tab w:val="left" w:pos="3480"/>
              </w:tabs>
              <w:spacing w:line="500" w:lineRule="exact"/>
              <w:rPr>
                <w:rFonts w:ascii="楷体" w:hAnsi="楷体" w:eastAsia="楷体" w:cs="楷体"/>
                <w:sz w:val="24"/>
                <w:szCs w:val="24"/>
              </w:rPr>
            </w:pPr>
            <w:r>
              <w:rPr>
                <w:rFonts w:hint="eastAsia" w:ascii="楷体" w:hAnsi="楷体" w:eastAsia="楷体" w:cs="楷体"/>
                <w:sz w:val="24"/>
                <w:szCs w:val="24"/>
                <w:lang w:bidi="ar"/>
              </w:rPr>
              <w:t>甲方（盖章）:</w:t>
            </w:r>
          </w:p>
          <w:p w14:paraId="7C9A1F1C">
            <w:pPr>
              <w:tabs>
                <w:tab w:val="left" w:pos="3480"/>
              </w:tabs>
              <w:spacing w:line="500" w:lineRule="exact"/>
              <w:rPr>
                <w:rFonts w:ascii="楷体" w:hAnsi="楷体" w:eastAsia="楷体" w:cs="楷体"/>
                <w:sz w:val="24"/>
                <w:szCs w:val="24"/>
              </w:rPr>
            </w:pPr>
          </w:p>
        </w:tc>
        <w:tc>
          <w:tcPr>
            <w:tcW w:w="3908" w:type="dxa"/>
            <w:shd w:val="clear" w:color="auto" w:fill="auto"/>
          </w:tcPr>
          <w:p w14:paraId="34C2EE1A">
            <w:pPr>
              <w:tabs>
                <w:tab w:val="left" w:pos="3480"/>
              </w:tabs>
              <w:spacing w:line="500" w:lineRule="exact"/>
              <w:rPr>
                <w:rFonts w:ascii="楷体" w:hAnsi="楷体" w:eastAsia="楷体" w:cs="楷体"/>
                <w:sz w:val="24"/>
                <w:szCs w:val="24"/>
              </w:rPr>
            </w:pPr>
            <w:r>
              <w:rPr>
                <w:rFonts w:hint="eastAsia" w:ascii="楷体" w:hAnsi="楷体" w:eastAsia="楷体" w:cs="楷体"/>
                <w:sz w:val="24"/>
                <w:szCs w:val="24"/>
                <w:lang w:bidi="ar"/>
              </w:rPr>
              <w:t>乙方（盖章）:</w:t>
            </w:r>
          </w:p>
          <w:p w14:paraId="6F6047EF">
            <w:pPr>
              <w:tabs>
                <w:tab w:val="left" w:pos="3480"/>
              </w:tabs>
              <w:spacing w:line="500" w:lineRule="exact"/>
              <w:rPr>
                <w:rFonts w:ascii="楷体" w:hAnsi="楷体" w:eastAsia="楷体" w:cs="楷体"/>
                <w:sz w:val="24"/>
                <w:szCs w:val="24"/>
              </w:rPr>
            </w:pPr>
            <w:r>
              <w:rPr>
                <w:rFonts w:hint="eastAsia" w:ascii="楷体" w:hAnsi="楷体" w:eastAsia="楷体" w:cs="楷体"/>
                <w:sz w:val="24"/>
              </w:rPr>
              <w:t xml:space="preserve"> </w:t>
            </w:r>
          </w:p>
        </w:tc>
      </w:tr>
      <w:tr w14:paraId="213B48EC">
        <w:tblPrEx>
          <w:tblCellMar>
            <w:top w:w="0" w:type="dxa"/>
            <w:left w:w="108" w:type="dxa"/>
            <w:bottom w:w="0" w:type="dxa"/>
            <w:right w:w="108" w:type="dxa"/>
          </w:tblCellMar>
        </w:tblPrEx>
        <w:trPr>
          <w:trHeight w:val="885" w:hRule="atLeast"/>
          <w:jc w:val="center"/>
        </w:trPr>
        <w:tc>
          <w:tcPr>
            <w:tcW w:w="4592" w:type="dxa"/>
            <w:shd w:val="clear" w:color="auto" w:fill="auto"/>
          </w:tcPr>
          <w:p w14:paraId="7A0693DC">
            <w:pPr>
              <w:tabs>
                <w:tab w:val="left" w:pos="3480"/>
              </w:tabs>
              <w:spacing w:line="500" w:lineRule="exact"/>
              <w:rPr>
                <w:rFonts w:ascii="楷体" w:hAnsi="楷体" w:eastAsia="楷体" w:cs="楷体"/>
                <w:sz w:val="24"/>
                <w:szCs w:val="24"/>
              </w:rPr>
            </w:pPr>
            <w:r>
              <w:rPr>
                <w:rFonts w:hint="eastAsia" w:ascii="楷体" w:hAnsi="楷体" w:eastAsia="楷体" w:cs="楷体"/>
                <w:sz w:val="24"/>
                <w:szCs w:val="24"/>
                <w:lang w:bidi="ar"/>
              </w:rPr>
              <w:t>法定代表人（签章）：</w:t>
            </w:r>
          </w:p>
          <w:p w14:paraId="6F64E4D0">
            <w:pPr>
              <w:tabs>
                <w:tab w:val="left" w:pos="3480"/>
              </w:tabs>
              <w:spacing w:line="500" w:lineRule="exact"/>
              <w:rPr>
                <w:rFonts w:ascii="楷体" w:hAnsi="楷体" w:eastAsia="楷体" w:cs="楷体"/>
                <w:sz w:val="24"/>
                <w:szCs w:val="24"/>
                <w:u w:val="single"/>
              </w:rPr>
            </w:pPr>
            <w:r>
              <w:rPr>
                <w:rFonts w:hint="eastAsia" w:ascii="楷体" w:hAnsi="楷体" w:eastAsia="楷体" w:cs="楷体"/>
                <w:sz w:val="24"/>
                <w:szCs w:val="24"/>
                <w:lang w:bidi="ar"/>
              </w:rPr>
              <w:t>或授权代表人（签字）：</w:t>
            </w:r>
          </w:p>
        </w:tc>
        <w:tc>
          <w:tcPr>
            <w:tcW w:w="3908" w:type="dxa"/>
            <w:shd w:val="clear" w:color="auto" w:fill="auto"/>
          </w:tcPr>
          <w:p w14:paraId="49F994D1">
            <w:pPr>
              <w:tabs>
                <w:tab w:val="left" w:pos="3480"/>
              </w:tabs>
              <w:spacing w:line="500" w:lineRule="exact"/>
              <w:rPr>
                <w:rFonts w:ascii="楷体" w:hAnsi="楷体" w:eastAsia="楷体" w:cs="楷体"/>
                <w:sz w:val="24"/>
                <w:szCs w:val="24"/>
              </w:rPr>
            </w:pPr>
            <w:r>
              <w:rPr>
                <w:rFonts w:hint="eastAsia" w:ascii="楷体" w:hAnsi="楷体" w:eastAsia="楷体" w:cs="楷体"/>
                <w:sz w:val="24"/>
                <w:szCs w:val="24"/>
                <w:lang w:bidi="ar"/>
              </w:rPr>
              <w:t>法定代表人（签章）：</w:t>
            </w:r>
          </w:p>
          <w:p w14:paraId="5B44F87D">
            <w:pPr>
              <w:tabs>
                <w:tab w:val="left" w:pos="3480"/>
              </w:tabs>
              <w:spacing w:line="500" w:lineRule="exact"/>
              <w:rPr>
                <w:rFonts w:ascii="楷体" w:hAnsi="楷体" w:eastAsia="楷体" w:cs="楷体"/>
                <w:sz w:val="24"/>
                <w:szCs w:val="24"/>
              </w:rPr>
            </w:pPr>
            <w:r>
              <w:rPr>
                <w:rFonts w:hint="eastAsia" w:ascii="楷体" w:hAnsi="楷体" w:eastAsia="楷体" w:cs="楷体"/>
                <w:sz w:val="24"/>
                <w:szCs w:val="24"/>
                <w:lang w:bidi="ar"/>
              </w:rPr>
              <w:t>或授权代表人（签字）：</w:t>
            </w:r>
          </w:p>
        </w:tc>
      </w:tr>
      <w:tr w14:paraId="54180A3B">
        <w:tblPrEx>
          <w:tblCellMar>
            <w:top w:w="0" w:type="dxa"/>
            <w:left w:w="108" w:type="dxa"/>
            <w:bottom w:w="0" w:type="dxa"/>
            <w:right w:w="108" w:type="dxa"/>
          </w:tblCellMar>
        </w:tblPrEx>
        <w:trPr>
          <w:trHeight w:val="1014" w:hRule="atLeast"/>
          <w:jc w:val="center"/>
        </w:trPr>
        <w:tc>
          <w:tcPr>
            <w:tcW w:w="4592" w:type="dxa"/>
            <w:shd w:val="clear" w:color="auto" w:fill="auto"/>
          </w:tcPr>
          <w:p w14:paraId="3B929675">
            <w:pPr>
              <w:tabs>
                <w:tab w:val="left" w:pos="3480"/>
              </w:tabs>
              <w:spacing w:line="500" w:lineRule="exact"/>
              <w:rPr>
                <w:rFonts w:ascii="楷体" w:hAnsi="楷体" w:eastAsia="楷体" w:cs="楷体"/>
                <w:sz w:val="24"/>
                <w:szCs w:val="24"/>
              </w:rPr>
            </w:pPr>
            <w:r>
              <w:rPr>
                <w:rFonts w:hint="eastAsia" w:ascii="楷体" w:hAnsi="楷体" w:eastAsia="楷体" w:cs="楷体"/>
                <w:sz w:val="24"/>
                <w:szCs w:val="24"/>
                <w:lang w:bidi="ar"/>
              </w:rPr>
              <w:t>项目负责人（签字）：</w:t>
            </w:r>
          </w:p>
          <w:p w14:paraId="3DCBAC05">
            <w:pPr>
              <w:tabs>
                <w:tab w:val="left" w:pos="5400"/>
              </w:tabs>
              <w:spacing w:line="500" w:lineRule="exact"/>
              <w:rPr>
                <w:rFonts w:ascii="楷体" w:hAnsi="楷体" w:eastAsia="楷体" w:cs="楷体"/>
                <w:sz w:val="24"/>
                <w:szCs w:val="24"/>
              </w:rPr>
            </w:pPr>
            <w:r>
              <w:rPr>
                <w:rFonts w:hint="eastAsia" w:ascii="楷体" w:hAnsi="楷体" w:eastAsia="楷体" w:cs="楷体"/>
                <w:sz w:val="24"/>
                <w:szCs w:val="24"/>
                <w:lang w:bidi="ar"/>
              </w:rPr>
              <w:t>或项目经理（签字）：</w:t>
            </w:r>
          </w:p>
        </w:tc>
        <w:tc>
          <w:tcPr>
            <w:tcW w:w="3908" w:type="dxa"/>
            <w:shd w:val="clear" w:color="auto" w:fill="auto"/>
          </w:tcPr>
          <w:p w14:paraId="78A41E28">
            <w:pPr>
              <w:tabs>
                <w:tab w:val="left" w:pos="3480"/>
              </w:tabs>
              <w:spacing w:line="500" w:lineRule="exact"/>
              <w:rPr>
                <w:rFonts w:ascii="楷体" w:hAnsi="楷体" w:eastAsia="楷体" w:cs="楷体"/>
                <w:sz w:val="24"/>
                <w:szCs w:val="24"/>
              </w:rPr>
            </w:pPr>
            <w:r>
              <w:rPr>
                <w:rFonts w:hint="eastAsia" w:ascii="楷体" w:hAnsi="楷体" w:eastAsia="楷体" w:cs="楷体"/>
                <w:sz w:val="24"/>
                <w:szCs w:val="24"/>
                <w:lang w:bidi="ar"/>
              </w:rPr>
              <w:t>项目负责人（签字）：</w:t>
            </w:r>
          </w:p>
          <w:p w14:paraId="7DA71621">
            <w:pPr>
              <w:tabs>
                <w:tab w:val="left" w:pos="3480"/>
              </w:tabs>
              <w:spacing w:line="500" w:lineRule="exact"/>
              <w:rPr>
                <w:rFonts w:ascii="楷体" w:hAnsi="楷体" w:eastAsia="楷体" w:cs="楷体"/>
                <w:sz w:val="24"/>
                <w:szCs w:val="24"/>
              </w:rPr>
            </w:pPr>
            <w:r>
              <w:rPr>
                <w:rFonts w:hint="eastAsia" w:ascii="楷体" w:hAnsi="楷体" w:eastAsia="楷体" w:cs="楷体"/>
                <w:sz w:val="24"/>
                <w:szCs w:val="24"/>
                <w:lang w:bidi="ar"/>
              </w:rPr>
              <w:t>或项目经理（签字）：</w:t>
            </w:r>
          </w:p>
        </w:tc>
      </w:tr>
      <w:tr w14:paraId="2D31E20C">
        <w:tblPrEx>
          <w:tblCellMar>
            <w:top w:w="0" w:type="dxa"/>
            <w:left w:w="108" w:type="dxa"/>
            <w:bottom w:w="0" w:type="dxa"/>
            <w:right w:w="108" w:type="dxa"/>
          </w:tblCellMar>
        </w:tblPrEx>
        <w:trPr>
          <w:trHeight w:val="648" w:hRule="atLeast"/>
          <w:jc w:val="center"/>
        </w:trPr>
        <w:tc>
          <w:tcPr>
            <w:tcW w:w="8500" w:type="dxa"/>
            <w:gridSpan w:val="2"/>
            <w:shd w:val="clear" w:color="auto" w:fill="FFFFFF"/>
            <w:vAlign w:val="center"/>
          </w:tcPr>
          <w:p w14:paraId="580329A9">
            <w:pPr>
              <w:tabs>
                <w:tab w:val="left" w:pos="3480"/>
              </w:tabs>
              <w:spacing w:line="500" w:lineRule="exact"/>
              <w:rPr>
                <w:rFonts w:ascii="楷体" w:hAnsi="楷体" w:eastAsia="楷体" w:cs="楷体"/>
                <w:sz w:val="24"/>
                <w:szCs w:val="24"/>
              </w:rPr>
            </w:pPr>
            <w:r>
              <w:rPr>
                <w:rFonts w:hint="eastAsia" w:ascii="楷体" w:hAnsi="楷体" w:eastAsia="楷体" w:cs="楷体"/>
                <w:sz w:val="24"/>
                <w:szCs w:val="24"/>
                <w:lang w:bidi="ar"/>
              </w:rPr>
              <w:t>日期：</w:t>
            </w:r>
            <w:r>
              <w:rPr>
                <w:rFonts w:hint="eastAsia" w:ascii="楷体" w:hAnsi="楷体" w:eastAsia="楷体" w:cs="楷体"/>
                <w:sz w:val="24"/>
                <w:szCs w:val="24"/>
                <w:lang w:val="en-US" w:eastAsia="zh-CN" w:bidi="ar"/>
              </w:rPr>
              <w:t>2024</w:t>
            </w:r>
            <w:r>
              <w:rPr>
                <w:rFonts w:hint="eastAsia" w:ascii="楷体" w:hAnsi="楷体" w:eastAsia="楷体" w:cs="楷体"/>
                <w:sz w:val="24"/>
                <w:szCs w:val="24"/>
                <w:lang w:bidi="ar"/>
              </w:rPr>
              <w:t>年  月  日</w:t>
            </w:r>
          </w:p>
        </w:tc>
      </w:tr>
    </w:tbl>
    <w:p w14:paraId="4ADBE2C0">
      <w:pPr>
        <w:spacing w:line="360" w:lineRule="auto"/>
      </w:pPr>
    </w:p>
    <w:p w14:paraId="7B69D1AE">
      <w:pPr>
        <w:widowControl/>
        <w:jc w:val="left"/>
      </w:pPr>
      <w:r>
        <w:br w:type="page"/>
      </w:r>
    </w:p>
    <w:p w14:paraId="44F93260">
      <w:pPr>
        <w:widowControl/>
        <w:spacing w:line="360" w:lineRule="auto"/>
        <w:rPr>
          <w:rFonts w:ascii="楷体" w:hAnsi="楷体" w:eastAsia="楷体" w:cs="楷体"/>
          <w:bCs/>
          <w:kern w:val="44"/>
          <w:sz w:val="24"/>
          <w:szCs w:val="24"/>
        </w:rPr>
      </w:pPr>
      <w:r>
        <w:rPr>
          <w:rFonts w:hint="eastAsia" w:ascii="楷体" w:hAnsi="楷体" w:eastAsia="楷体" w:cs="楷体"/>
          <w:bCs/>
          <w:kern w:val="44"/>
          <w:sz w:val="24"/>
          <w:szCs w:val="24"/>
        </w:rPr>
        <w:t>安全管理协议书</w:t>
      </w:r>
      <w:r>
        <w:rPr>
          <w:rFonts w:ascii="楷体" w:hAnsi="楷体" w:eastAsia="楷体" w:cs="楷体"/>
          <w:bCs/>
          <w:kern w:val="44"/>
          <w:sz w:val="24"/>
        </w:rPr>
        <w:t>-</w:t>
      </w:r>
      <w:r>
        <w:rPr>
          <w:rFonts w:hint="eastAsia" w:ascii="楷体" w:hAnsi="楷体" w:eastAsia="楷体" w:cs="楷体"/>
          <w:bCs/>
          <w:kern w:val="44"/>
          <w:sz w:val="24"/>
        </w:rPr>
        <w:t>附件</w:t>
      </w:r>
      <w:r>
        <w:rPr>
          <w:rFonts w:hint="eastAsia" w:ascii="楷体" w:hAnsi="楷体" w:eastAsia="楷体" w:cs="楷体"/>
          <w:bCs/>
          <w:kern w:val="44"/>
          <w:sz w:val="24"/>
          <w:szCs w:val="24"/>
        </w:rPr>
        <w:t>1</w:t>
      </w:r>
      <w:r>
        <w:rPr>
          <w:rFonts w:hint="eastAsia" w:ascii="楷体" w:hAnsi="楷体" w:eastAsia="楷体" w:cs="楷体"/>
          <w:bCs/>
          <w:kern w:val="44"/>
          <w:sz w:val="24"/>
        </w:rPr>
        <w:t>：</w:t>
      </w:r>
    </w:p>
    <w:p w14:paraId="48374195">
      <w:pPr>
        <w:keepNext w:val="0"/>
        <w:keepLines w:val="0"/>
        <w:pageBreakBefore w:val="0"/>
        <w:widowControl w:val="0"/>
        <w:kinsoku/>
        <w:wordWrap/>
        <w:overflowPunct w:val="0"/>
        <w:topLinePunct w:val="0"/>
        <w:autoSpaceDE w:val="0"/>
        <w:autoSpaceDN w:val="0"/>
        <w:bidi w:val="0"/>
        <w:adjustRightInd w:val="0"/>
        <w:snapToGrid w:val="0"/>
        <w:spacing w:line="400" w:lineRule="exact"/>
        <w:jc w:val="center"/>
        <w:textAlignment w:val="baseline"/>
        <w:rPr>
          <w:rFonts w:ascii="楷体" w:hAnsi="楷体" w:eastAsia="楷体" w:cs="楷体"/>
          <w:bCs/>
          <w:kern w:val="44"/>
          <w:sz w:val="24"/>
          <w:szCs w:val="24"/>
        </w:rPr>
      </w:pPr>
      <w:r>
        <w:rPr>
          <w:rFonts w:hint="eastAsia" w:ascii="楷体" w:hAnsi="楷体" w:eastAsia="楷体" w:cs="楷体"/>
          <w:bCs/>
          <w:kern w:val="44"/>
          <w:sz w:val="24"/>
          <w:szCs w:val="24"/>
          <w:lang w:bidi="ar"/>
        </w:rPr>
        <w:t>EHS管理处罚实施细则</w:t>
      </w:r>
    </w:p>
    <w:p w14:paraId="4A8F226D">
      <w:pPr>
        <w:keepNext w:val="0"/>
        <w:keepLines w:val="0"/>
        <w:pageBreakBefore w:val="0"/>
        <w:widowControl w:val="0"/>
        <w:kinsoku/>
        <w:wordWrap/>
        <w:topLinePunct w:val="0"/>
        <w:bidi w:val="0"/>
        <w:adjustRightInd w:val="0"/>
        <w:snapToGrid w:val="0"/>
        <w:spacing w:line="400" w:lineRule="exact"/>
        <w:ind w:firstLine="480" w:firstLineChars="200"/>
        <w:rPr>
          <w:rFonts w:ascii="楷体" w:hAnsi="楷体" w:eastAsia="楷体" w:cs="楷体"/>
          <w:b/>
          <w:sz w:val="24"/>
          <w:szCs w:val="24"/>
        </w:rPr>
      </w:pPr>
      <w:r>
        <w:rPr>
          <w:rFonts w:hint="eastAsia" w:ascii="楷体" w:hAnsi="楷体" w:eastAsia="楷体" w:cs="楷体"/>
          <w:b/>
          <w:sz w:val="24"/>
          <w:szCs w:val="24"/>
          <w:lang w:bidi="ar"/>
        </w:rPr>
        <w:t>1. 范围</w:t>
      </w:r>
    </w:p>
    <w:p w14:paraId="7E7468B1">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1.1 本细则明确了甲方工程项目现场违反EHS管理的各类行为和现象，规定了处罚的额度。本细则适用于甲方所有标段的工程项目。</w:t>
      </w:r>
    </w:p>
    <w:p w14:paraId="7416B198">
      <w:pPr>
        <w:keepNext w:val="0"/>
        <w:keepLines w:val="0"/>
        <w:pageBreakBefore w:val="0"/>
        <w:widowControl w:val="0"/>
        <w:kinsoku/>
        <w:wordWrap/>
        <w:topLinePunct w:val="0"/>
        <w:bidi w:val="0"/>
        <w:adjustRightInd w:val="0"/>
        <w:snapToGrid w:val="0"/>
        <w:spacing w:line="400" w:lineRule="exact"/>
        <w:ind w:firstLine="480" w:firstLineChars="200"/>
        <w:rPr>
          <w:rFonts w:ascii="楷体" w:hAnsi="楷体" w:eastAsia="楷体" w:cs="楷体"/>
          <w:b/>
          <w:sz w:val="24"/>
          <w:szCs w:val="24"/>
        </w:rPr>
      </w:pPr>
      <w:r>
        <w:rPr>
          <w:rFonts w:hint="eastAsia" w:ascii="楷体" w:hAnsi="楷体" w:eastAsia="楷体" w:cs="楷体"/>
          <w:b/>
          <w:sz w:val="24"/>
          <w:szCs w:val="24"/>
          <w:lang w:bidi="ar"/>
        </w:rPr>
        <w:t>2. 职责</w:t>
      </w:r>
    </w:p>
    <w:p w14:paraId="6DBF9320">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2.1 由甲方工程相关部门有关人员负责对违章行为和现象的处罚。处罚对象为乙方。</w:t>
      </w:r>
    </w:p>
    <w:p w14:paraId="09091CF2">
      <w:pPr>
        <w:keepNext w:val="0"/>
        <w:keepLines w:val="0"/>
        <w:pageBreakBefore w:val="0"/>
        <w:widowControl w:val="0"/>
        <w:kinsoku/>
        <w:wordWrap/>
        <w:topLinePunct w:val="0"/>
        <w:bidi w:val="0"/>
        <w:adjustRightInd w:val="0"/>
        <w:snapToGrid w:val="0"/>
        <w:spacing w:line="400" w:lineRule="exact"/>
        <w:ind w:firstLine="480" w:firstLineChars="200"/>
        <w:rPr>
          <w:rFonts w:ascii="楷体" w:hAnsi="楷体" w:eastAsia="楷体" w:cs="楷体"/>
          <w:b/>
          <w:sz w:val="24"/>
          <w:szCs w:val="24"/>
        </w:rPr>
      </w:pPr>
      <w:r>
        <w:rPr>
          <w:rFonts w:hint="eastAsia" w:ascii="楷体" w:hAnsi="楷体" w:eastAsia="楷体" w:cs="楷体"/>
          <w:b/>
          <w:sz w:val="24"/>
          <w:szCs w:val="24"/>
          <w:lang w:bidi="ar"/>
        </w:rPr>
        <w:t>3. 目的</w:t>
      </w:r>
    </w:p>
    <w:p w14:paraId="35EA19FA">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3.1 为加强安全文明施工管理，使违章处理工作有章可循，避免和减少各类人身伤害事故，营造良好的文明施工环境，特制定本细则。下称《细则》。</w:t>
      </w:r>
    </w:p>
    <w:p w14:paraId="784EE16C">
      <w:pPr>
        <w:keepNext w:val="0"/>
        <w:keepLines w:val="0"/>
        <w:pageBreakBefore w:val="0"/>
        <w:widowControl w:val="0"/>
        <w:kinsoku/>
        <w:wordWrap/>
        <w:topLinePunct w:val="0"/>
        <w:bidi w:val="0"/>
        <w:adjustRightInd w:val="0"/>
        <w:snapToGrid w:val="0"/>
        <w:spacing w:line="400" w:lineRule="exact"/>
        <w:ind w:firstLine="480" w:firstLineChars="200"/>
        <w:rPr>
          <w:rFonts w:ascii="楷体" w:hAnsi="楷体" w:eastAsia="楷体" w:cs="楷体"/>
          <w:b/>
          <w:sz w:val="24"/>
          <w:szCs w:val="24"/>
        </w:rPr>
      </w:pPr>
      <w:r>
        <w:rPr>
          <w:rFonts w:hint="eastAsia" w:ascii="楷体" w:hAnsi="楷体" w:eastAsia="楷体" w:cs="楷体"/>
          <w:b/>
          <w:sz w:val="24"/>
          <w:szCs w:val="24"/>
          <w:lang w:bidi="ar"/>
        </w:rPr>
        <w:t>4. 内容</w:t>
      </w:r>
    </w:p>
    <w:p w14:paraId="78E4EC80">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4.1 违章的分类</w:t>
      </w:r>
    </w:p>
    <w:p w14:paraId="76A95AD2">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4.1.1 从生产活动的组织与造成事故直接原因、主要原因及领导原因来区分，违章可分为作业性违章、装置性违章、指挥性违章和违反文明施工规定。</w:t>
      </w:r>
    </w:p>
    <w:p w14:paraId="003285A6">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4.1.2 从违章者本人的安全技术素质与思想心理、习惯等因素区分，违章可分为习惯违章和偶然性违章二类。</w:t>
      </w:r>
    </w:p>
    <w:p w14:paraId="72432F2F">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4.2 查处违章的原则</w:t>
      </w:r>
    </w:p>
    <w:p w14:paraId="3EF97CBC">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4.2.1 坚持违章必究的原则，同时按《细则》中所含内容进行一定数额的罚款，做到实事求是，严格执行，谢绝说情。对性质恶劣，拒绝警告、整改、有意延续违章的行为，在原处罚数额的基础上增加2-10倍的处罚。情况紧急时下达停工整顿命令。</w:t>
      </w:r>
    </w:p>
    <w:p w14:paraId="3375F13B">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4.2.2 因违章而导致各类事故的发生，按事故等级对乙方的处罚执行《事故处罚实施细则》</w:t>
      </w:r>
    </w:p>
    <w:p w14:paraId="0F0474B0">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4.3 作业性违章</w:t>
      </w:r>
    </w:p>
    <w:p w14:paraId="3F2D2740">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4.3.1 作业性违章定义：指在施工中违反《安全生产法》和地方性、行业性的法律法规的规定，违反保证安全施工的各项规定、制度及措施的一切不安全行为。</w:t>
      </w:r>
    </w:p>
    <w:p w14:paraId="6D6C028D">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4.3.2 作业性违章主要指施工人员个人作业过程中发生的违章。</w:t>
      </w:r>
    </w:p>
    <w:p w14:paraId="2C8B348C">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4.4 装置性违章</w:t>
      </w:r>
    </w:p>
    <w:p w14:paraId="65737648">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4.4.1 装置性违章定义：指工作现场的环境、设备、设施及工器具不符合国家、行业、公司有关规定及反事故措施和保证人身安全的各项规定及技术措施的要求，不能保证人身和设备安全的一切不安全状态。</w:t>
      </w:r>
    </w:p>
    <w:p w14:paraId="27C05771">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4.4.2 装置性违章主要指与生产有关的设备、设施不符合规定要求的违章。</w:t>
      </w:r>
    </w:p>
    <w:p w14:paraId="78D1BD61">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4.5 指挥性违章</w:t>
      </w:r>
    </w:p>
    <w:p w14:paraId="21D5A2EA">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4.5.1 指挥性违章定义：指各级领导，甚至工作票签发人、工作负责人，违反劳动安全卫生法规、条例和保证人身安全的技术措施、安全措施进行作业组织与指挥行为。</w:t>
      </w:r>
    </w:p>
    <w:p w14:paraId="16597211">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4.5.2 指挥性违章主要指生产指挥人员违反有关规定及根据某项作业制定的技术措施、安全措施等发出的错误命令或做出的错误决定。</w:t>
      </w:r>
    </w:p>
    <w:p w14:paraId="6F39D95B">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4.6 文明施工违章定义：指在施工中一切不文明施工的行为。</w:t>
      </w:r>
    </w:p>
    <w:p w14:paraId="25688B9A">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4.7 各类违章处罚金额标准：</w:t>
      </w:r>
    </w:p>
    <w:p w14:paraId="05BA4EF9">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4.7.1 环境、职业健康、安全管理</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6"/>
        <w:gridCol w:w="3754"/>
        <w:gridCol w:w="3101"/>
        <w:gridCol w:w="1366"/>
      </w:tblGrid>
      <w:tr w14:paraId="7982C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blHeader/>
          <w:jc w:val="center"/>
        </w:trPr>
        <w:tc>
          <w:tcPr>
            <w:tcW w:w="491" w:type="pct"/>
            <w:tcBorders>
              <w:top w:val="single" w:color="auto" w:sz="4" w:space="0"/>
              <w:left w:val="single" w:color="auto" w:sz="4" w:space="0"/>
              <w:bottom w:val="single" w:color="auto" w:sz="4" w:space="0"/>
              <w:right w:val="single" w:color="auto" w:sz="4" w:space="0"/>
            </w:tcBorders>
            <w:shd w:val="clear" w:color="auto" w:fill="auto"/>
            <w:vAlign w:val="center"/>
          </w:tcPr>
          <w:p w14:paraId="18E103D2">
            <w:pPr>
              <w:adjustRightInd w:val="0"/>
              <w:snapToGrid w:val="0"/>
              <w:rPr>
                <w:rFonts w:ascii="楷体" w:hAnsi="楷体" w:eastAsia="楷体" w:cs="楷体"/>
                <w:sz w:val="24"/>
                <w:szCs w:val="24"/>
              </w:rPr>
            </w:pPr>
            <w:r>
              <w:rPr>
                <w:rFonts w:hint="eastAsia" w:ascii="楷体" w:hAnsi="楷体" w:eastAsia="楷体" w:cs="楷体"/>
                <w:sz w:val="24"/>
                <w:szCs w:val="24"/>
              </w:rPr>
              <w:t>序号</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78BCACF4">
            <w:pPr>
              <w:adjustRightInd w:val="0"/>
              <w:snapToGrid w:val="0"/>
              <w:rPr>
                <w:rFonts w:ascii="楷体" w:hAnsi="楷体" w:eastAsia="楷体" w:cs="楷体"/>
                <w:sz w:val="24"/>
                <w:szCs w:val="24"/>
              </w:rPr>
            </w:pPr>
            <w:r>
              <w:rPr>
                <w:rFonts w:hint="eastAsia" w:ascii="楷体" w:hAnsi="楷体" w:eastAsia="楷体" w:cs="楷体"/>
                <w:sz w:val="24"/>
                <w:szCs w:val="24"/>
              </w:rPr>
              <w:t>违章内容</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48621C00">
            <w:pPr>
              <w:adjustRightInd w:val="0"/>
              <w:snapToGrid w:val="0"/>
              <w:rPr>
                <w:rFonts w:ascii="楷体" w:hAnsi="楷体" w:eastAsia="楷体" w:cs="楷体"/>
                <w:sz w:val="24"/>
                <w:szCs w:val="24"/>
              </w:rPr>
            </w:pPr>
            <w:r>
              <w:rPr>
                <w:rFonts w:hint="eastAsia" w:ascii="楷体" w:hAnsi="楷体" w:eastAsia="楷体" w:cs="楷体"/>
                <w:sz w:val="24"/>
                <w:szCs w:val="24"/>
              </w:rPr>
              <w:t>罚款金额</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4BB40DC8">
            <w:pPr>
              <w:adjustRightInd w:val="0"/>
              <w:snapToGrid w:val="0"/>
              <w:rPr>
                <w:rFonts w:ascii="楷体" w:hAnsi="楷体" w:eastAsia="楷体" w:cs="楷体"/>
                <w:sz w:val="24"/>
                <w:szCs w:val="24"/>
              </w:rPr>
            </w:pPr>
            <w:r>
              <w:rPr>
                <w:rFonts w:hint="eastAsia" w:ascii="楷体" w:hAnsi="楷体" w:eastAsia="楷体" w:cs="楷体"/>
                <w:sz w:val="24"/>
                <w:szCs w:val="24"/>
              </w:rPr>
              <w:t>备注</w:t>
            </w:r>
          </w:p>
        </w:tc>
      </w:tr>
      <w:tr w14:paraId="7DD01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jc w:val="center"/>
        </w:trPr>
        <w:tc>
          <w:tcPr>
            <w:tcW w:w="491" w:type="pct"/>
            <w:tcBorders>
              <w:top w:val="single" w:color="auto" w:sz="4" w:space="0"/>
              <w:left w:val="single" w:color="auto" w:sz="4" w:space="0"/>
              <w:bottom w:val="single" w:color="auto" w:sz="4" w:space="0"/>
              <w:right w:val="single" w:color="auto" w:sz="4" w:space="0"/>
            </w:tcBorders>
            <w:shd w:val="clear" w:color="auto" w:fill="auto"/>
            <w:vAlign w:val="center"/>
          </w:tcPr>
          <w:p w14:paraId="5B231826">
            <w:pPr>
              <w:adjustRightInd w:val="0"/>
              <w:snapToGrid w:val="0"/>
              <w:rPr>
                <w:rFonts w:ascii="楷体" w:hAnsi="楷体" w:eastAsia="楷体" w:cs="楷体"/>
                <w:sz w:val="24"/>
                <w:szCs w:val="24"/>
              </w:rPr>
            </w:pPr>
            <w:r>
              <w:rPr>
                <w:rFonts w:hint="eastAsia" w:ascii="楷体" w:hAnsi="楷体" w:eastAsia="楷体" w:cs="楷体"/>
                <w:sz w:val="24"/>
                <w:szCs w:val="24"/>
              </w:rPr>
              <w:t>EHS01</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086A05AE">
            <w:pPr>
              <w:adjustRightInd w:val="0"/>
              <w:snapToGrid w:val="0"/>
              <w:rPr>
                <w:rFonts w:ascii="楷体" w:hAnsi="楷体" w:eastAsia="楷体" w:cs="楷体"/>
                <w:sz w:val="24"/>
                <w:szCs w:val="24"/>
              </w:rPr>
            </w:pPr>
            <w:r>
              <w:rPr>
                <w:rFonts w:hint="eastAsia" w:ascii="楷体" w:hAnsi="楷体" w:eastAsia="楷体" w:cs="楷体"/>
                <w:sz w:val="24"/>
                <w:szCs w:val="24"/>
              </w:rPr>
              <w:t>未规定要求设置安全生产管理机构或专职安全生产监督管理人员（含无证上岗）</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57B2B2F3">
            <w:pPr>
              <w:adjustRightInd w:val="0"/>
              <w:snapToGrid w:val="0"/>
              <w:rPr>
                <w:rFonts w:ascii="楷体" w:hAnsi="楷体" w:eastAsia="楷体" w:cs="楷体"/>
                <w:sz w:val="24"/>
                <w:szCs w:val="24"/>
              </w:rPr>
            </w:pPr>
            <w:r>
              <w:rPr>
                <w:rFonts w:hint="eastAsia" w:ascii="楷体" w:hAnsi="楷体" w:eastAsia="楷体" w:cs="楷体"/>
                <w:sz w:val="24"/>
                <w:szCs w:val="24"/>
              </w:rPr>
              <w:t>每次10000元</w:t>
            </w:r>
          </w:p>
        </w:tc>
        <w:tc>
          <w:tcPr>
            <w:tcW w:w="74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D2F0F1D">
            <w:pPr>
              <w:adjustRightInd w:val="0"/>
              <w:snapToGrid w:val="0"/>
              <w:rPr>
                <w:rFonts w:ascii="楷体" w:hAnsi="楷体" w:eastAsia="楷体" w:cs="楷体"/>
                <w:sz w:val="24"/>
                <w:szCs w:val="24"/>
              </w:rPr>
            </w:pPr>
            <w:r>
              <w:rPr>
                <w:rFonts w:hint="eastAsia" w:ascii="楷体" w:hAnsi="楷体" w:eastAsia="楷体" w:cs="楷体"/>
                <w:sz w:val="24"/>
                <w:szCs w:val="24"/>
              </w:rPr>
              <w:t>限期整改</w:t>
            </w:r>
          </w:p>
          <w:p w14:paraId="00A53AA9">
            <w:pPr>
              <w:adjustRightInd w:val="0"/>
              <w:snapToGrid w:val="0"/>
              <w:rPr>
                <w:rFonts w:ascii="楷体" w:hAnsi="楷体" w:eastAsia="楷体" w:cs="楷体"/>
                <w:sz w:val="24"/>
                <w:szCs w:val="24"/>
              </w:rPr>
            </w:pPr>
            <w:r>
              <w:rPr>
                <w:rFonts w:hint="eastAsia" w:ascii="楷体" w:hAnsi="楷体" w:eastAsia="楷体" w:cs="楷体"/>
                <w:sz w:val="24"/>
                <w:szCs w:val="24"/>
              </w:rPr>
              <w:t>禁止施工</w:t>
            </w:r>
          </w:p>
        </w:tc>
      </w:tr>
      <w:tr w14:paraId="2EA92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491" w:type="pct"/>
            <w:tcBorders>
              <w:top w:val="single" w:color="auto" w:sz="4" w:space="0"/>
              <w:left w:val="single" w:color="auto" w:sz="4" w:space="0"/>
              <w:bottom w:val="single" w:color="auto" w:sz="4" w:space="0"/>
              <w:right w:val="single" w:color="auto" w:sz="4" w:space="0"/>
            </w:tcBorders>
            <w:shd w:val="clear" w:color="auto" w:fill="auto"/>
            <w:vAlign w:val="center"/>
          </w:tcPr>
          <w:p w14:paraId="4ABA58B9">
            <w:pPr>
              <w:adjustRightInd w:val="0"/>
              <w:snapToGrid w:val="0"/>
              <w:rPr>
                <w:rFonts w:ascii="楷体" w:hAnsi="楷体" w:eastAsia="楷体" w:cs="楷体"/>
                <w:sz w:val="24"/>
                <w:szCs w:val="24"/>
              </w:rPr>
            </w:pPr>
            <w:r>
              <w:rPr>
                <w:rFonts w:hint="eastAsia" w:ascii="楷体" w:hAnsi="楷体" w:eastAsia="楷体" w:cs="楷体"/>
                <w:sz w:val="24"/>
                <w:szCs w:val="24"/>
              </w:rPr>
              <w:t>EHS02</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2CFDC119">
            <w:pPr>
              <w:adjustRightInd w:val="0"/>
              <w:snapToGrid w:val="0"/>
              <w:rPr>
                <w:rFonts w:ascii="楷体" w:hAnsi="楷体" w:eastAsia="楷体" w:cs="楷体"/>
                <w:sz w:val="24"/>
                <w:szCs w:val="24"/>
              </w:rPr>
            </w:pPr>
            <w:r>
              <w:rPr>
                <w:rFonts w:hint="eastAsia" w:ascii="楷体" w:hAnsi="楷体" w:eastAsia="楷体" w:cs="楷体"/>
                <w:sz w:val="24"/>
                <w:szCs w:val="24"/>
              </w:rPr>
              <w:t>未建立相关安全管理制度和管理体系</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12BECB06">
            <w:pPr>
              <w:adjustRightInd w:val="0"/>
              <w:snapToGrid w:val="0"/>
              <w:rPr>
                <w:rFonts w:ascii="楷体" w:hAnsi="楷体" w:eastAsia="楷体" w:cs="楷体"/>
                <w:sz w:val="24"/>
                <w:szCs w:val="24"/>
              </w:rPr>
            </w:pPr>
            <w:r>
              <w:rPr>
                <w:rFonts w:hint="eastAsia" w:ascii="楷体" w:hAnsi="楷体" w:eastAsia="楷体" w:cs="楷体"/>
                <w:sz w:val="24"/>
                <w:szCs w:val="24"/>
              </w:rPr>
              <w:t>每次5000元</w:t>
            </w:r>
          </w:p>
        </w:tc>
        <w:tc>
          <w:tcPr>
            <w:tcW w:w="74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ACDF58A">
            <w:pPr>
              <w:adjustRightInd w:val="0"/>
              <w:snapToGrid w:val="0"/>
              <w:rPr>
                <w:rFonts w:ascii="楷体" w:hAnsi="楷体" w:eastAsia="楷体" w:cs="楷体"/>
                <w:sz w:val="24"/>
                <w:szCs w:val="24"/>
              </w:rPr>
            </w:pPr>
          </w:p>
        </w:tc>
      </w:tr>
      <w:tr w14:paraId="5E156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atLeast"/>
          <w:jc w:val="center"/>
        </w:trPr>
        <w:tc>
          <w:tcPr>
            <w:tcW w:w="491" w:type="pct"/>
            <w:tcBorders>
              <w:top w:val="single" w:color="auto" w:sz="4" w:space="0"/>
              <w:left w:val="single" w:color="auto" w:sz="4" w:space="0"/>
              <w:bottom w:val="single" w:color="auto" w:sz="4" w:space="0"/>
              <w:right w:val="single" w:color="auto" w:sz="4" w:space="0"/>
            </w:tcBorders>
            <w:shd w:val="clear" w:color="auto" w:fill="auto"/>
            <w:vAlign w:val="center"/>
          </w:tcPr>
          <w:p w14:paraId="12AC88D7">
            <w:pPr>
              <w:adjustRightInd w:val="0"/>
              <w:snapToGrid w:val="0"/>
              <w:rPr>
                <w:rFonts w:ascii="楷体" w:hAnsi="楷体" w:eastAsia="楷体" w:cs="楷体"/>
                <w:sz w:val="24"/>
                <w:szCs w:val="24"/>
              </w:rPr>
            </w:pPr>
            <w:r>
              <w:rPr>
                <w:rFonts w:hint="eastAsia" w:ascii="楷体" w:hAnsi="楷体" w:eastAsia="楷体" w:cs="楷体"/>
                <w:sz w:val="24"/>
                <w:szCs w:val="24"/>
              </w:rPr>
              <w:t>EHS03</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7FEC9DEF">
            <w:pPr>
              <w:adjustRightInd w:val="0"/>
              <w:snapToGrid w:val="0"/>
              <w:rPr>
                <w:rFonts w:ascii="楷体" w:hAnsi="楷体" w:eastAsia="楷体" w:cs="楷体"/>
                <w:sz w:val="24"/>
                <w:szCs w:val="24"/>
              </w:rPr>
            </w:pPr>
            <w:r>
              <w:rPr>
                <w:rFonts w:hint="eastAsia" w:ascii="楷体" w:hAnsi="楷体" w:eastAsia="楷体" w:cs="楷体"/>
                <w:sz w:val="24"/>
                <w:szCs w:val="24"/>
              </w:rPr>
              <w:t>未落实三级安全教育、专项教育，提交虚假相关资料、代替填写资料等</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4F14461F">
            <w:pPr>
              <w:adjustRightInd w:val="0"/>
              <w:snapToGrid w:val="0"/>
              <w:rPr>
                <w:rFonts w:ascii="楷体" w:hAnsi="楷体" w:eastAsia="楷体" w:cs="楷体"/>
                <w:sz w:val="24"/>
                <w:szCs w:val="24"/>
              </w:rPr>
            </w:pPr>
            <w:r>
              <w:rPr>
                <w:rFonts w:hint="eastAsia" w:ascii="楷体" w:hAnsi="楷体" w:eastAsia="楷体" w:cs="楷体"/>
                <w:sz w:val="24"/>
                <w:szCs w:val="24"/>
              </w:rPr>
              <w:t>每处每次2000元</w:t>
            </w:r>
          </w:p>
        </w:tc>
        <w:tc>
          <w:tcPr>
            <w:tcW w:w="74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D8BEE1D">
            <w:pPr>
              <w:adjustRightInd w:val="0"/>
              <w:snapToGrid w:val="0"/>
              <w:rPr>
                <w:rFonts w:ascii="楷体" w:hAnsi="楷体" w:eastAsia="楷体" w:cs="楷体"/>
                <w:sz w:val="24"/>
                <w:szCs w:val="24"/>
              </w:rPr>
            </w:pPr>
          </w:p>
        </w:tc>
      </w:tr>
      <w:tr w14:paraId="24E22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jc w:val="center"/>
        </w:trPr>
        <w:tc>
          <w:tcPr>
            <w:tcW w:w="491" w:type="pct"/>
            <w:tcBorders>
              <w:top w:val="single" w:color="auto" w:sz="4" w:space="0"/>
              <w:left w:val="single" w:color="auto" w:sz="4" w:space="0"/>
              <w:bottom w:val="single" w:color="auto" w:sz="4" w:space="0"/>
              <w:right w:val="single" w:color="auto" w:sz="4" w:space="0"/>
            </w:tcBorders>
            <w:shd w:val="clear" w:color="auto" w:fill="auto"/>
            <w:vAlign w:val="center"/>
          </w:tcPr>
          <w:p w14:paraId="55C49C2E">
            <w:pPr>
              <w:adjustRightInd w:val="0"/>
              <w:snapToGrid w:val="0"/>
              <w:rPr>
                <w:rFonts w:ascii="楷体" w:hAnsi="楷体" w:eastAsia="楷体" w:cs="楷体"/>
                <w:sz w:val="24"/>
                <w:szCs w:val="24"/>
              </w:rPr>
            </w:pPr>
            <w:r>
              <w:rPr>
                <w:rFonts w:hint="eastAsia" w:ascii="楷体" w:hAnsi="楷体" w:eastAsia="楷体" w:cs="楷体"/>
                <w:sz w:val="24"/>
                <w:szCs w:val="24"/>
              </w:rPr>
              <w:t>EHS04</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7CCB6DB4">
            <w:pPr>
              <w:adjustRightInd w:val="0"/>
              <w:snapToGrid w:val="0"/>
              <w:rPr>
                <w:rFonts w:ascii="楷体" w:hAnsi="楷体" w:eastAsia="楷体" w:cs="楷体"/>
                <w:sz w:val="24"/>
                <w:szCs w:val="24"/>
              </w:rPr>
            </w:pPr>
            <w:r>
              <w:rPr>
                <w:rFonts w:hint="eastAsia" w:ascii="楷体" w:hAnsi="楷体" w:eastAsia="楷体" w:cs="楷体"/>
                <w:sz w:val="24"/>
                <w:szCs w:val="24"/>
              </w:rPr>
              <w:t>未按规定要求编制专项方案未按照规定要求进行安全技术交底或弄虚作假填写交底资料</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66A55C0F">
            <w:pPr>
              <w:adjustRightInd w:val="0"/>
              <w:snapToGrid w:val="0"/>
              <w:rPr>
                <w:rFonts w:ascii="楷体" w:hAnsi="楷体" w:eastAsia="楷体" w:cs="楷体"/>
                <w:sz w:val="24"/>
                <w:szCs w:val="24"/>
              </w:rPr>
            </w:pPr>
            <w:r>
              <w:rPr>
                <w:rFonts w:hint="eastAsia" w:ascii="楷体" w:hAnsi="楷体" w:eastAsia="楷体" w:cs="楷体"/>
                <w:sz w:val="24"/>
                <w:szCs w:val="24"/>
              </w:rPr>
              <w:t>每处每次5000元</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65E723BB">
            <w:pPr>
              <w:adjustRightInd w:val="0"/>
              <w:snapToGrid w:val="0"/>
              <w:rPr>
                <w:rFonts w:ascii="楷体" w:hAnsi="楷体" w:eastAsia="楷体" w:cs="楷体"/>
                <w:sz w:val="24"/>
                <w:szCs w:val="24"/>
              </w:rPr>
            </w:pPr>
            <w:r>
              <w:rPr>
                <w:rFonts w:hint="eastAsia" w:ascii="楷体" w:hAnsi="楷体" w:eastAsia="楷体" w:cs="楷体"/>
                <w:sz w:val="24"/>
                <w:szCs w:val="24"/>
              </w:rPr>
              <w:t>禁止相关危险作业</w:t>
            </w:r>
          </w:p>
        </w:tc>
      </w:tr>
      <w:tr w14:paraId="3F4FC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491" w:type="pct"/>
            <w:tcBorders>
              <w:top w:val="single" w:color="auto" w:sz="4" w:space="0"/>
              <w:left w:val="single" w:color="auto" w:sz="4" w:space="0"/>
              <w:bottom w:val="single" w:color="auto" w:sz="4" w:space="0"/>
              <w:right w:val="single" w:color="auto" w:sz="4" w:space="0"/>
            </w:tcBorders>
            <w:shd w:val="clear" w:color="auto" w:fill="auto"/>
            <w:vAlign w:val="center"/>
          </w:tcPr>
          <w:p w14:paraId="68D8DB11">
            <w:pPr>
              <w:adjustRightInd w:val="0"/>
              <w:snapToGrid w:val="0"/>
              <w:rPr>
                <w:rFonts w:ascii="楷体" w:hAnsi="楷体" w:eastAsia="楷体" w:cs="楷体"/>
                <w:sz w:val="24"/>
                <w:szCs w:val="24"/>
              </w:rPr>
            </w:pPr>
            <w:r>
              <w:rPr>
                <w:rFonts w:hint="eastAsia" w:ascii="楷体" w:hAnsi="楷体" w:eastAsia="楷体" w:cs="楷体"/>
                <w:sz w:val="24"/>
                <w:szCs w:val="24"/>
              </w:rPr>
              <w:t>EHS05</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5F5AB186">
            <w:pPr>
              <w:adjustRightInd w:val="0"/>
              <w:snapToGrid w:val="0"/>
              <w:rPr>
                <w:rFonts w:ascii="楷体" w:hAnsi="楷体" w:eastAsia="楷体" w:cs="楷体"/>
                <w:sz w:val="24"/>
                <w:szCs w:val="24"/>
              </w:rPr>
            </w:pPr>
            <w:r>
              <w:rPr>
                <w:rFonts w:hint="eastAsia" w:ascii="楷体" w:hAnsi="楷体" w:eastAsia="楷体" w:cs="楷体"/>
                <w:sz w:val="24"/>
                <w:szCs w:val="24"/>
              </w:rPr>
              <w:t>未落实安全检查、填写检查记录或未及时整改回复</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11A41838">
            <w:pPr>
              <w:adjustRightInd w:val="0"/>
              <w:snapToGrid w:val="0"/>
              <w:rPr>
                <w:rFonts w:ascii="楷体" w:hAnsi="楷体" w:eastAsia="楷体" w:cs="楷体"/>
                <w:sz w:val="24"/>
                <w:szCs w:val="24"/>
              </w:rPr>
            </w:pPr>
            <w:r>
              <w:rPr>
                <w:rFonts w:hint="eastAsia" w:ascii="楷体" w:hAnsi="楷体" w:eastAsia="楷体" w:cs="楷体"/>
                <w:sz w:val="24"/>
                <w:szCs w:val="24"/>
              </w:rPr>
              <w:t>每处每次1000元，重大安全隐患未及时整改1～5倍以上</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424A6EB3">
            <w:pPr>
              <w:adjustRightInd w:val="0"/>
              <w:snapToGrid w:val="0"/>
              <w:rPr>
                <w:rFonts w:ascii="楷体" w:hAnsi="楷体" w:eastAsia="楷体" w:cs="楷体"/>
                <w:sz w:val="24"/>
                <w:szCs w:val="24"/>
              </w:rPr>
            </w:pPr>
          </w:p>
        </w:tc>
      </w:tr>
      <w:tr w14:paraId="02D03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1" w:hRule="atLeast"/>
          <w:jc w:val="center"/>
        </w:trPr>
        <w:tc>
          <w:tcPr>
            <w:tcW w:w="491" w:type="pct"/>
            <w:tcBorders>
              <w:top w:val="single" w:color="auto" w:sz="4" w:space="0"/>
              <w:left w:val="single" w:color="auto" w:sz="4" w:space="0"/>
              <w:bottom w:val="single" w:color="auto" w:sz="4" w:space="0"/>
              <w:right w:val="single" w:color="auto" w:sz="4" w:space="0"/>
            </w:tcBorders>
            <w:shd w:val="clear" w:color="auto" w:fill="auto"/>
            <w:vAlign w:val="center"/>
          </w:tcPr>
          <w:p w14:paraId="5A7595B8">
            <w:pPr>
              <w:adjustRightInd w:val="0"/>
              <w:snapToGrid w:val="0"/>
              <w:rPr>
                <w:rFonts w:ascii="楷体" w:hAnsi="楷体" w:eastAsia="楷体" w:cs="楷体"/>
                <w:sz w:val="24"/>
                <w:szCs w:val="24"/>
              </w:rPr>
            </w:pPr>
            <w:r>
              <w:rPr>
                <w:rFonts w:hint="eastAsia" w:ascii="楷体" w:hAnsi="楷体" w:eastAsia="楷体" w:cs="楷体"/>
                <w:sz w:val="24"/>
                <w:szCs w:val="24"/>
              </w:rPr>
              <w:t>EHS06</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4B849C5E">
            <w:pPr>
              <w:adjustRightInd w:val="0"/>
              <w:snapToGrid w:val="0"/>
              <w:rPr>
                <w:rFonts w:ascii="楷体" w:hAnsi="楷体" w:eastAsia="楷体" w:cs="楷体"/>
                <w:sz w:val="24"/>
                <w:szCs w:val="24"/>
              </w:rPr>
            </w:pPr>
            <w:r>
              <w:rPr>
                <w:rFonts w:hint="eastAsia" w:ascii="楷体" w:hAnsi="楷体" w:eastAsia="楷体" w:cs="楷体"/>
                <w:sz w:val="24"/>
                <w:szCs w:val="24"/>
              </w:rPr>
              <w:t>未建立应急救援体系、未配置应急救援物资、未定期进行演练、无应急救援预案</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75D41EB8">
            <w:pPr>
              <w:adjustRightInd w:val="0"/>
              <w:snapToGrid w:val="0"/>
              <w:rPr>
                <w:rFonts w:ascii="楷体" w:hAnsi="楷体" w:eastAsia="楷体" w:cs="楷体"/>
                <w:sz w:val="24"/>
                <w:szCs w:val="24"/>
              </w:rPr>
            </w:pPr>
            <w:r>
              <w:rPr>
                <w:rFonts w:hint="eastAsia" w:ascii="楷体" w:hAnsi="楷体" w:eastAsia="楷体" w:cs="楷体"/>
                <w:sz w:val="24"/>
                <w:szCs w:val="24"/>
              </w:rPr>
              <w:t>每处每次10000元</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442FC86E">
            <w:pPr>
              <w:adjustRightInd w:val="0"/>
              <w:snapToGrid w:val="0"/>
              <w:rPr>
                <w:rFonts w:ascii="楷体" w:hAnsi="楷体" w:eastAsia="楷体" w:cs="楷体"/>
                <w:sz w:val="24"/>
                <w:szCs w:val="24"/>
              </w:rPr>
            </w:pPr>
          </w:p>
        </w:tc>
      </w:tr>
      <w:tr w14:paraId="69D10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91" w:type="pct"/>
            <w:tcBorders>
              <w:top w:val="single" w:color="auto" w:sz="4" w:space="0"/>
              <w:left w:val="single" w:color="auto" w:sz="4" w:space="0"/>
              <w:bottom w:val="single" w:color="auto" w:sz="4" w:space="0"/>
              <w:right w:val="single" w:color="auto" w:sz="4" w:space="0"/>
            </w:tcBorders>
            <w:shd w:val="clear" w:color="auto" w:fill="auto"/>
            <w:vAlign w:val="center"/>
          </w:tcPr>
          <w:p w14:paraId="1B9DC3CA">
            <w:pPr>
              <w:adjustRightInd w:val="0"/>
              <w:snapToGrid w:val="0"/>
              <w:rPr>
                <w:rFonts w:ascii="楷体" w:hAnsi="楷体" w:eastAsia="楷体" w:cs="楷体"/>
                <w:sz w:val="24"/>
                <w:szCs w:val="24"/>
              </w:rPr>
            </w:pPr>
            <w:r>
              <w:rPr>
                <w:rFonts w:hint="eastAsia" w:ascii="楷体" w:hAnsi="楷体" w:eastAsia="楷体" w:cs="楷体"/>
                <w:sz w:val="24"/>
                <w:szCs w:val="24"/>
              </w:rPr>
              <w:t>EHS07</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6C0878F4">
            <w:pPr>
              <w:adjustRightInd w:val="0"/>
              <w:snapToGrid w:val="0"/>
              <w:rPr>
                <w:rFonts w:ascii="楷体" w:hAnsi="楷体" w:eastAsia="楷体" w:cs="楷体"/>
                <w:sz w:val="24"/>
                <w:szCs w:val="24"/>
              </w:rPr>
            </w:pPr>
            <w:r>
              <w:rPr>
                <w:rFonts w:hint="eastAsia" w:ascii="楷体" w:hAnsi="楷体" w:eastAsia="楷体" w:cs="楷体"/>
                <w:sz w:val="24"/>
                <w:szCs w:val="24"/>
              </w:rPr>
              <w:t>不报、瞒报、迟报安全事故</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4435F358">
            <w:pPr>
              <w:adjustRightInd w:val="0"/>
              <w:snapToGrid w:val="0"/>
              <w:rPr>
                <w:rFonts w:ascii="楷体" w:hAnsi="楷体" w:eastAsia="楷体" w:cs="楷体"/>
                <w:sz w:val="24"/>
                <w:szCs w:val="24"/>
              </w:rPr>
            </w:pPr>
            <w:r>
              <w:rPr>
                <w:rFonts w:hint="eastAsia" w:ascii="楷体" w:hAnsi="楷体" w:eastAsia="楷体" w:cs="楷体"/>
                <w:sz w:val="24"/>
                <w:szCs w:val="24"/>
              </w:rPr>
              <w:t>每处每次5000元</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1F7731CA">
            <w:pPr>
              <w:adjustRightInd w:val="0"/>
              <w:snapToGrid w:val="0"/>
              <w:rPr>
                <w:rFonts w:ascii="楷体" w:hAnsi="楷体" w:eastAsia="楷体" w:cs="楷体"/>
                <w:sz w:val="24"/>
                <w:szCs w:val="24"/>
              </w:rPr>
            </w:pPr>
          </w:p>
        </w:tc>
      </w:tr>
      <w:tr w14:paraId="503FC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491" w:type="pct"/>
            <w:tcBorders>
              <w:top w:val="single" w:color="auto" w:sz="4" w:space="0"/>
              <w:left w:val="single" w:color="auto" w:sz="4" w:space="0"/>
              <w:bottom w:val="single" w:color="auto" w:sz="4" w:space="0"/>
              <w:right w:val="single" w:color="auto" w:sz="4" w:space="0"/>
            </w:tcBorders>
            <w:shd w:val="clear" w:color="auto" w:fill="auto"/>
            <w:vAlign w:val="center"/>
          </w:tcPr>
          <w:p w14:paraId="58F195EA">
            <w:pPr>
              <w:adjustRightInd w:val="0"/>
              <w:snapToGrid w:val="0"/>
              <w:rPr>
                <w:rFonts w:ascii="楷体" w:hAnsi="楷体" w:eastAsia="楷体" w:cs="楷体"/>
                <w:sz w:val="24"/>
                <w:szCs w:val="24"/>
              </w:rPr>
            </w:pPr>
            <w:r>
              <w:rPr>
                <w:rFonts w:hint="eastAsia" w:ascii="楷体" w:hAnsi="楷体" w:eastAsia="楷体" w:cs="楷体"/>
                <w:sz w:val="24"/>
                <w:szCs w:val="24"/>
              </w:rPr>
              <w:t>EHS08</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53AE30BE">
            <w:pPr>
              <w:adjustRightInd w:val="0"/>
              <w:snapToGrid w:val="0"/>
              <w:rPr>
                <w:rFonts w:ascii="楷体" w:hAnsi="楷体" w:eastAsia="楷体" w:cs="楷体"/>
                <w:sz w:val="24"/>
                <w:szCs w:val="24"/>
              </w:rPr>
            </w:pPr>
            <w:r>
              <w:rPr>
                <w:rFonts w:hint="eastAsia" w:ascii="楷体" w:hAnsi="楷体" w:eastAsia="楷体" w:cs="楷体"/>
                <w:sz w:val="24"/>
                <w:szCs w:val="24"/>
              </w:rPr>
              <w:t>特种作业人员未持证上岗</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2BF45004">
            <w:pPr>
              <w:adjustRightInd w:val="0"/>
              <w:snapToGrid w:val="0"/>
              <w:rPr>
                <w:rFonts w:ascii="楷体" w:hAnsi="楷体" w:eastAsia="楷体" w:cs="楷体"/>
                <w:sz w:val="24"/>
                <w:szCs w:val="24"/>
              </w:rPr>
            </w:pPr>
            <w:r>
              <w:rPr>
                <w:rFonts w:hint="eastAsia" w:ascii="楷体" w:hAnsi="楷体" w:eastAsia="楷体" w:cs="楷体"/>
                <w:sz w:val="24"/>
                <w:szCs w:val="24"/>
              </w:rPr>
              <w:t>每处每次3000元</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38A2F13C">
            <w:pPr>
              <w:adjustRightInd w:val="0"/>
              <w:snapToGrid w:val="0"/>
              <w:rPr>
                <w:rFonts w:ascii="楷体" w:hAnsi="楷体" w:eastAsia="楷体" w:cs="楷体"/>
                <w:sz w:val="24"/>
                <w:szCs w:val="24"/>
              </w:rPr>
            </w:pPr>
          </w:p>
        </w:tc>
      </w:tr>
      <w:tr w14:paraId="5EC64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491" w:type="pct"/>
            <w:tcBorders>
              <w:top w:val="single" w:color="auto" w:sz="4" w:space="0"/>
              <w:left w:val="single" w:color="auto" w:sz="4" w:space="0"/>
              <w:bottom w:val="single" w:color="auto" w:sz="4" w:space="0"/>
              <w:right w:val="single" w:color="auto" w:sz="4" w:space="0"/>
            </w:tcBorders>
            <w:shd w:val="clear" w:color="auto" w:fill="auto"/>
            <w:vAlign w:val="center"/>
          </w:tcPr>
          <w:p w14:paraId="749F2143">
            <w:pPr>
              <w:adjustRightInd w:val="0"/>
              <w:snapToGrid w:val="0"/>
              <w:rPr>
                <w:rFonts w:ascii="楷体" w:hAnsi="楷体" w:eastAsia="楷体" w:cs="楷体"/>
                <w:sz w:val="24"/>
                <w:szCs w:val="24"/>
              </w:rPr>
            </w:pPr>
            <w:r>
              <w:rPr>
                <w:rFonts w:hint="eastAsia" w:ascii="楷体" w:hAnsi="楷体" w:eastAsia="楷体" w:cs="楷体"/>
                <w:sz w:val="24"/>
                <w:szCs w:val="24"/>
              </w:rPr>
              <w:t>EHS09</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39ECC7AB">
            <w:pPr>
              <w:adjustRightInd w:val="0"/>
              <w:snapToGrid w:val="0"/>
              <w:rPr>
                <w:rFonts w:ascii="楷体" w:hAnsi="楷体" w:eastAsia="楷体" w:cs="楷体"/>
                <w:sz w:val="24"/>
                <w:szCs w:val="24"/>
              </w:rPr>
            </w:pPr>
            <w:r>
              <w:rPr>
                <w:rFonts w:hint="eastAsia" w:ascii="楷体" w:hAnsi="楷体" w:eastAsia="楷体" w:cs="楷体"/>
                <w:sz w:val="24"/>
                <w:szCs w:val="24"/>
              </w:rPr>
              <w:t>规定的人员未按规定时间参与安全会议、检查和其他安全活动</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6635275D">
            <w:pPr>
              <w:adjustRightInd w:val="0"/>
              <w:snapToGrid w:val="0"/>
              <w:rPr>
                <w:rFonts w:ascii="楷体" w:hAnsi="楷体" w:eastAsia="楷体" w:cs="楷体"/>
                <w:sz w:val="24"/>
                <w:szCs w:val="24"/>
              </w:rPr>
            </w:pPr>
            <w:r>
              <w:rPr>
                <w:rFonts w:hint="eastAsia" w:ascii="楷体" w:hAnsi="楷体" w:eastAsia="楷体" w:cs="楷体"/>
                <w:sz w:val="24"/>
                <w:szCs w:val="24"/>
              </w:rPr>
              <w:t>每人每次1000元</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5F2F5AE2">
            <w:pPr>
              <w:adjustRightInd w:val="0"/>
              <w:snapToGrid w:val="0"/>
              <w:rPr>
                <w:rFonts w:ascii="楷体" w:hAnsi="楷体" w:eastAsia="楷体" w:cs="楷体"/>
                <w:sz w:val="24"/>
                <w:szCs w:val="24"/>
              </w:rPr>
            </w:pPr>
          </w:p>
        </w:tc>
      </w:tr>
      <w:tr w14:paraId="36406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491" w:type="pct"/>
            <w:tcBorders>
              <w:top w:val="single" w:color="auto" w:sz="4" w:space="0"/>
              <w:left w:val="single" w:color="auto" w:sz="4" w:space="0"/>
              <w:bottom w:val="single" w:color="auto" w:sz="4" w:space="0"/>
              <w:right w:val="single" w:color="auto" w:sz="4" w:space="0"/>
            </w:tcBorders>
            <w:shd w:val="clear" w:color="auto" w:fill="auto"/>
            <w:vAlign w:val="center"/>
          </w:tcPr>
          <w:p w14:paraId="364D4167">
            <w:pPr>
              <w:adjustRightInd w:val="0"/>
              <w:snapToGrid w:val="0"/>
              <w:rPr>
                <w:rFonts w:ascii="楷体" w:hAnsi="楷体" w:eastAsia="楷体" w:cs="楷体"/>
                <w:sz w:val="24"/>
                <w:szCs w:val="24"/>
              </w:rPr>
            </w:pPr>
            <w:r>
              <w:rPr>
                <w:rFonts w:hint="eastAsia" w:ascii="楷体" w:hAnsi="楷体" w:eastAsia="楷体" w:cs="楷体"/>
                <w:sz w:val="24"/>
                <w:szCs w:val="24"/>
              </w:rPr>
              <w:t>EHS10</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2CE32DB2">
            <w:pPr>
              <w:adjustRightInd w:val="0"/>
              <w:snapToGrid w:val="0"/>
              <w:rPr>
                <w:rFonts w:ascii="楷体" w:hAnsi="楷体" w:eastAsia="楷体" w:cs="楷体"/>
                <w:sz w:val="24"/>
                <w:szCs w:val="24"/>
              </w:rPr>
            </w:pPr>
            <w:r>
              <w:rPr>
                <w:rFonts w:hint="eastAsia" w:ascii="楷体" w:hAnsi="楷体" w:eastAsia="楷体" w:cs="楷体"/>
                <w:sz w:val="24"/>
                <w:szCs w:val="24"/>
              </w:rPr>
              <w:t>未按规定要求设置职业健康、环境保护设施、未按规定落实</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3D4F6868">
            <w:pPr>
              <w:adjustRightInd w:val="0"/>
              <w:snapToGrid w:val="0"/>
              <w:rPr>
                <w:rFonts w:ascii="楷体" w:hAnsi="楷体" w:eastAsia="楷体" w:cs="楷体"/>
                <w:sz w:val="24"/>
                <w:szCs w:val="24"/>
              </w:rPr>
            </w:pPr>
            <w:r>
              <w:rPr>
                <w:rFonts w:hint="eastAsia" w:ascii="楷体" w:hAnsi="楷体" w:eastAsia="楷体" w:cs="楷体"/>
                <w:sz w:val="24"/>
                <w:szCs w:val="24"/>
              </w:rPr>
              <w:t>每处每1000-20000元</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340249D8">
            <w:pPr>
              <w:adjustRightInd w:val="0"/>
              <w:snapToGrid w:val="0"/>
              <w:rPr>
                <w:rFonts w:ascii="楷体" w:hAnsi="楷体" w:eastAsia="楷体" w:cs="楷体"/>
                <w:sz w:val="24"/>
                <w:szCs w:val="24"/>
              </w:rPr>
            </w:pPr>
          </w:p>
        </w:tc>
      </w:tr>
      <w:tr w14:paraId="60208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491" w:type="pct"/>
            <w:tcBorders>
              <w:top w:val="single" w:color="auto" w:sz="4" w:space="0"/>
              <w:left w:val="single" w:color="auto" w:sz="4" w:space="0"/>
              <w:bottom w:val="single" w:color="auto" w:sz="4" w:space="0"/>
              <w:right w:val="single" w:color="auto" w:sz="4" w:space="0"/>
            </w:tcBorders>
            <w:shd w:val="clear" w:color="auto" w:fill="auto"/>
            <w:vAlign w:val="center"/>
          </w:tcPr>
          <w:p w14:paraId="62BE5455">
            <w:pPr>
              <w:adjustRightInd w:val="0"/>
              <w:snapToGrid w:val="0"/>
              <w:rPr>
                <w:rFonts w:ascii="楷体" w:hAnsi="楷体" w:eastAsia="楷体" w:cs="楷体"/>
                <w:sz w:val="24"/>
                <w:szCs w:val="24"/>
              </w:rPr>
            </w:pPr>
            <w:r>
              <w:rPr>
                <w:rFonts w:hint="eastAsia" w:ascii="楷体" w:hAnsi="楷体" w:eastAsia="楷体" w:cs="楷体"/>
                <w:sz w:val="24"/>
                <w:szCs w:val="24"/>
              </w:rPr>
              <w:t>EHS11</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03A41433">
            <w:pPr>
              <w:adjustRightInd w:val="0"/>
              <w:snapToGrid w:val="0"/>
              <w:rPr>
                <w:rFonts w:ascii="楷体" w:hAnsi="楷体" w:eastAsia="楷体" w:cs="楷体"/>
                <w:sz w:val="24"/>
                <w:szCs w:val="24"/>
              </w:rPr>
            </w:pPr>
            <w:r>
              <w:rPr>
                <w:rFonts w:hint="eastAsia" w:ascii="楷体" w:hAnsi="楷体" w:eastAsia="楷体" w:cs="楷体"/>
                <w:sz w:val="24"/>
                <w:szCs w:val="24"/>
              </w:rPr>
              <w:t>未按照规定要求配置劳动防护用品或劳动防护用品不符合安全卫生要求</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73DDBBF2">
            <w:pPr>
              <w:adjustRightInd w:val="0"/>
              <w:snapToGrid w:val="0"/>
              <w:rPr>
                <w:rFonts w:ascii="楷体" w:hAnsi="楷体" w:eastAsia="楷体" w:cs="楷体"/>
                <w:sz w:val="24"/>
                <w:szCs w:val="24"/>
              </w:rPr>
            </w:pPr>
            <w:r>
              <w:rPr>
                <w:rFonts w:hint="eastAsia" w:ascii="楷体" w:hAnsi="楷体" w:eastAsia="楷体" w:cs="楷体"/>
                <w:sz w:val="24"/>
                <w:szCs w:val="24"/>
              </w:rPr>
              <w:t>每人每次1000元</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19B5478C">
            <w:pPr>
              <w:adjustRightInd w:val="0"/>
              <w:snapToGrid w:val="0"/>
              <w:rPr>
                <w:rFonts w:ascii="楷体" w:hAnsi="楷体" w:eastAsia="楷体" w:cs="楷体"/>
                <w:sz w:val="24"/>
                <w:szCs w:val="24"/>
              </w:rPr>
            </w:pPr>
          </w:p>
        </w:tc>
      </w:tr>
      <w:tr w14:paraId="605B1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491" w:type="pct"/>
            <w:tcBorders>
              <w:top w:val="single" w:color="auto" w:sz="4" w:space="0"/>
              <w:left w:val="single" w:color="auto" w:sz="4" w:space="0"/>
              <w:bottom w:val="single" w:color="auto" w:sz="4" w:space="0"/>
              <w:right w:val="single" w:color="auto" w:sz="4" w:space="0"/>
            </w:tcBorders>
            <w:shd w:val="clear" w:color="auto" w:fill="auto"/>
            <w:vAlign w:val="center"/>
          </w:tcPr>
          <w:p w14:paraId="530318AF">
            <w:pPr>
              <w:adjustRightInd w:val="0"/>
              <w:snapToGrid w:val="0"/>
              <w:rPr>
                <w:rFonts w:ascii="楷体" w:hAnsi="楷体" w:eastAsia="楷体" w:cs="楷体"/>
                <w:sz w:val="24"/>
                <w:szCs w:val="24"/>
              </w:rPr>
            </w:pPr>
            <w:r>
              <w:rPr>
                <w:rFonts w:hint="eastAsia" w:ascii="楷体" w:hAnsi="楷体" w:eastAsia="楷体" w:cs="楷体"/>
                <w:sz w:val="24"/>
                <w:szCs w:val="24"/>
              </w:rPr>
              <w:t>EHS12</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3DB578CF">
            <w:pPr>
              <w:adjustRightInd w:val="0"/>
              <w:snapToGrid w:val="0"/>
              <w:rPr>
                <w:rFonts w:ascii="楷体" w:hAnsi="楷体" w:eastAsia="楷体" w:cs="楷体"/>
                <w:sz w:val="24"/>
                <w:szCs w:val="24"/>
              </w:rPr>
            </w:pPr>
            <w:r>
              <w:rPr>
                <w:rFonts w:hint="eastAsia" w:ascii="楷体" w:hAnsi="楷体" w:eastAsia="楷体" w:cs="楷体"/>
                <w:sz w:val="24"/>
                <w:szCs w:val="24"/>
              </w:rPr>
              <w:t>打架斗殴\聚众闹事\拦路封门等恶劣影响</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750131BA">
            <w:pPr>
              <w:adjustRightInd w:val="0"/>
              <w:snapToGrid w:val="0"/>
              <w:rPr>
                <w:rFonts w:ascii="楷体" w:hAnsi="楷体" w:eastAsia="楷体" w:cs="楷体"/>
                <w:sz w:val="24"/>
                <w:szCs w:val="24"/>
              </w:rPr>
            </w:pPr>
            <w:r>
              <w:rPr>
                <w:rFonts w:hint="eastAsia" w:ascii="楷体" w:hAnsi="楷体" w:eastAsia="楷体" w:cs="楷体"/>
                <w:sz w:val="24"/>
                <w:szCs w:val="24"/>
              </w:rPr>
              <w:t>每处每次5000元</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6AE6F41F">
            <w:pPr>
              <w:adjustRightInd w:val="0"/>
              <w:snapToGrid w:val="0"/>
              <w:rPr>
                <w:rFonts w:ascii="楷体" w:hAnsi="楷体" w:eastAsia="楷体" w:cs="楷体"/>
                <w:sz w:val="24"/>
                <w:szCs w:val="24"/>
              </w:rPr>
            </w:pPr>
          </w:p>
        </w:tc>
      </w:tr>
      <w:tr w14:paraId="649AC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491" w:type="pct"/>
            <w:tcBorders>
              <w:top w:val="single" w:color="auto" w:sz="4" w:space="0"/>
              <w:left w:val="single" w:color="auto" w:sz="4" w:space="0"/>
              <w:bottom w:val="single" w:color="auto" w:sz="4" w:space="0"/>
              <w:right w:val="single" w:color="auto" w:sz="4" w:space="0"/>
            </w:tcBorders>
            <w:shd w:val="clear" w:color="auto" w:fill="auto"/>
            <w:vAlign w:val="center"/>
          </w:tcPr>
          <w:p w14:paraId="1F031B2B">
            <w:pPr>
              <w:adjustRightInd w:val="0"/>
              <w:snapToGrid w:val="0"/>
              <w:rPr>
                <w:rFonts w:ascii="楷体" w:hAnsi="楷体" w:eastAsia="楷体" w:cs="楷体"/>
                <w:sz w:val="24"/>
                <w:szCs w:val="24"/>
              </w:rPr>
            </w:pPr>
            <w:r>
              <w:rPr>
                <w:rFonts w:hint="eastAsia" w:ascii="楷体" w:hAnsi="楷体" w:eastAsia="楷体" w:cs="楷体"/>
                <w:sz w:val="24"/>
                <w:szCs w:val="24"/>
              </w:rPr>
              <w:t>EHS13</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6BB7197D">
            <w:pPr>
              <w:adjustRightInd w:val="0"/>
              <w:snapToGrid w:val="0"/>
              <w:rPr>
                <w:rFonts w:ascii="楷体" w:hAnsi="楷体" w:eastAsia="楷体" w:cs="楷体"/>
                <w:sz w:val="24"/>
                <w:szCs w:val="24"/>
              </w:rPr>
            </w:pPr>
            <w:r>
              <w:rPr>
                <w:rFonts w:hint="eastAsia" w:ascii="楷体" w:hAnsi="楷体" w:eastAsia="楷体" w:cs="楷体"/>
                <w:sz w:val="24"/>
                <w:szCs w:val="24"/>
              </w:rPr>
              <w:t>不服从管理、威胁、恐吓、殴打管理人员</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6F3B386C">
            <w:pPr>
              <w:adjustRightInd w:val="0"/>
              <w:snapToGrid w:val="0"/>
              <w:rPr>
                <w:rFonts w:ascii="楷体" w:hAnsi="楷体" w:eastAsia="楷体" w:cs="楷体"/>
                <w:sz w:val="24"/>
                <w:szCs w:val="24"/>
              </w:rPr>
            </w:pPr>
            <w:r>
              <w:rPr>
                <w:rFonts w:hint="eastAsia" w:ascii="楷体" w:hAnsi="楷体" w:eastAsia="楷体" w:cs="楷体"/>
                <w:sz w:val="24"/>
                <w:szCs w:val="24"/>
              </w:rPr>
              <w:t>每次5000-100000元</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3A460D90">
            <w:pPr>
              <w:adjustRightInd w:val="0"/>
              <w:snapToGrid w:val="0"/>
              <w:rPr>
                <w:rFonts w:ascii="楷体" w:hAnsi="楷体" w:eastAsia="楷体" w:cs="楷体"/>
                <w:sz w:val="24"/>
                <w:szCs w:val="24"/>
              </w:rPr>
            </w:pPr>
          </w:p>
        </w:tc>
      </w:tr>
      <w:tr w14:paraId="21BE9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491" w:type="pct"/>
            <w:tcBorders>
              <w:top w:val="single" w:color="auto" w:sz="4" w:space="0"/>
              <w:left w:val="single" w:color="auto" w:sz="4" w:space="0"/>
              <w:bottom w:val="single" w:color="auto" w:sz="4" w:space="0"/>
              <w:right w:val="single" w:color="auto" w:sz="4" w:space="0"/>
            </w:tcBorders>
            <w:shd w:val="clear" w:color="auto" w:fill="auto"/>
            <w:vAlign w:val="center"/>
          </w:tcPr>
          <w:p w14:paraId="7188CDB6">
            <w:pPr>
              <w:adjustRightInd w:val="0"/>
              <w:snapToGrid w:val="0"/>
              <w:rPr>
                <w:rFonts w:ascii="楷体" w:hAnsi="楷体" w:eastAsia="楷体" w:cs="楷体"/>
                <w:sz w:val="24"/>
                <w:szCs w:val="24"/>
              </w:rPr>
            </w:pPr>
            <w:r>
              <w:rPr>
                <w:rFonts w:hint="eastAsia" w:ascii="楷体" w:hAnsi="楷体" w:eastAsia="楷体" w:cs="楷体"/>
                <w:sz w:val="24"/>
                <w:szCs w:val="24"/>
              </w:rPr>
              <w:t>EHS14</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0E8544DE">
            <w:pPr>
              <w:adjustRightInd w:val="0"/>
              <w:snapToGrid w:val="0"/>
              <w:rPr>
                <w:rFonts w:ascii="楷体" w:hAnsi="楷体" w:eastAsia="楷体" w:cs="楷体"/>
                <w:sz w:val="24"/>
                <w:szCs w:val="24"/>
              </w:rPr>
            </w:pPr>
            <w:r>
              <w:rPr>
                <w:rFonts w:hint="eastAsia" w:ascii="楷体" w:hAnsi="楷体" w:eastAsia="楷体" w:cs="楷体"/>
                <w:sz w:val="24"/>
                <w:szCs w:val="24"/>
              </w:rPr>
              <w:t>非法雇佣童工或违法犯罪人员</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73AA9244">
            <w:pPr>
              <w:adjustRightInd w:val="0"/>
              <w:snapToGrid w:val="0"/>
              <w:rPr>
                <w:rFonts w:ascii="楷体" w:hAnsi="楷体" w:eastAsia="楷体" w:cs="楷体"/>
                <w:sz w:val="24"/>
                <w:szCs w:val="24"/>
              </w:rPr>
            </w:pPr>
            <w:r>
              <w:rPr>
                <w:rFonts w:hint="eastAsia" w:ascii="楷体" w:hAnsi="楷体" w:eastAsia="楷体" w:cs="楷体"/>
                <w:sz w:val="24"/>
                <w:szCs w:val="24"/>
              </w:rPr>
              <w:t>每处每次2000元</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192862AC">
            <w:pPr>
              <w:adjustRightInd w:val="0"/>
              <w:snapToGrid w:val="0"/>
              <w:rPr>
                <w:rFonts w:ascii="楷体" w:hAnsi="楷体" w:eastAsia="楷体" w:cs="楷体"/>
                <w:sz w:val="24"/>
                <w:szCs w:val="24"/>
              </w:rPr>
            </w:pPr>
          </w:p>
        </w:tc>
      </w:tr>
      <w:tr w14:paraId="4ADD3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491" w:type="pct"/>
            <w:tcBorders>
              <w:top w:val="single" w:color="auto" w:sz="4" w:space="0"/>
              <w:left w:val="single" w:color="auto" w:sz="4" w:space="0"/>
              <w:bottom w:val="single" w:color="auto" w:sz="4" w:space="0"/>
              <w:right w:val="single" w:color="auto" w:sz="4" w:space="0"/>
            </w:tcBorders>
            <w:shd w:val="clear" w:color="auto" w:fill="auto"/>
            <w:vAlign w:val="center"/>
          </w:tcPr>
          <w:p w14:paraId="201CD79A">
            <w:pPr>
              <w:adjustRightInd w:val="0"/>
              <w:snapToGrid w:val="0"/>
              <w:rPr>
                <w:rFonts w:ascii="楷体" w:hAnsi="楷体" w:eastAsia="楷体" w:cs="楷体"/>
                <w:sz w:val="24"/>
                <w:szCs w:val="24"/>
              </w:rPr>
            </w:pPr>
            <w:r>
              <w:rPr>
                <w:rFonts w:hint="eastAsia" w:ascii="楷体" w:hAnsi="楷体" w:eastAsia="楷体" w:cs="楷体"/>
                <w:sz w:val="24"/>
                <w:szCs w:val="24"/>
              </w:rPr>
              <w:t>EHS15</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5928EA5E">
            <w:pPr>
              <w:adjustRightInd w:val="0"/>
              <w:snapToGrid w:val="0"/>
              <w:rPr>
                <w:rFonts w:ascii="楷体" w:hAnsi="楷体" w:eastAsia="楷体" w:cs="楷体"/>
                <w:sz w:val="24"/>
                <w:szCs w:val="24"/>
              </w:rPr>
            </w:pPr>
            <w:r>
              <w:rPr>
                <w:rFonts w:hint="eastAsia" w:ascii="楷体" w:hAnsi="楷体" w:eastAsia="楷体" w:cs="楷体"/>
                <w:sz w:val="24"/>
                <w:szCs w:val="24"/>
              </w:rPr>
              <w:t>危险作业未要求开具施工许可</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3F1A3EE5">
            <w:pPr>
              <w:adjustRightInd w:val="0"/>
              <w:snapToGrid w:val="0"/>
              <w:rPr>
                <w:rFonts w:ascii="楷体" w:hAnsi="楷体" w:eastAsia="楷体" w:cs="楷体"/>
                <w:sz w:val="24"/>
                <w:szCs w:val="24"/>
              </w:rPr>
            </w:pPr>
            <w:r>
              <w:rPr>
                <w:rFonts w:hint="eastAsia" w:ascii="楷体" w:hAnsi="楷体" w:eastAsia="楷体" w:cs="楷体"/>
                <w:sz w:val="24"/>
                <w:szCs w:val="24"/>
              </w:rPr>
              <w:t>每处每次1000元</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09E699EA">
            <w:pPr>
              <w:adjustRightInd w:val="0"/>
              <w:snapToGrid w:val="0"/>
              <w:rPr>
                <w:rFonts w:ascii="楷体" w:hAnsi="楷体" w:eastAsia="楷体" w:cs="楷体"/>
                <w:sz w:val="24"/>
                <w:szCs w:val="24"/>
              </w:rPr>
            </w:pPr>
          </w:p>
        </w:tc>
      </w:tr>
      <w:tr w14:paraId="28EEA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491" w:type="pct"/>
            <w:tcBorders>
              <w:top w:val="single" w:color="auto" w:sz="4" w:space="0"/>
              <w:left w:val="single" w:color="auto" w:sz="4" w:space="0"/>
              <w:bottom w:val="single" w:color="auto" w:sz="4" w:space="0"/>
              <w:right w:val="single" w:color="auto" w:sz="4" w:space="0"/>
            </w:tcBorders>
            <w:shd w:val="clear" w:color="auto" w:fill="auto"/>
            <w:vAlign w:val="center"/>
          </w:tcPr>
          <w:p w14:paraId="487D6C77">
            <w:pPr>
              <w:adjustRightInd w:val="0"/>
              <w:snapToGrid w:val="0"/>
              <w:rPr>
                <w:rFonts w:ascii="楷体" w:hAnsi="楷体" w:eastAsia="楷体" w:cs="楷体"/>
                <w:sz w:val="24"/>
                <w:szCs w:val="24"/>
              </w:rPr>
            </w:pPr>
            <w:r>
              <w:rPr>
                <w:rFonts w:hint="eastAsia" w:ascii="楷体" w:hAnsi="楷体" w:eastAsia="楷体" w:cs="楷体"/>
                <w:sz w:val="24"/>
                <w:szCs w:val="24"/>
              </w:rPr>
              <w:t>EHS16</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0C6F0CBC">
            <w:pPr>
              <w:adjustRightInd w:val="0"/>
              <w:snapToGrid w:val="0"/>
              <w:rPr>
                <w:rFonts w:ascii="楷体" w:hAnsi="楷体" w:eastAsia="楷体" w:cs="楷体"/>
                <w:sz w:val="24"/>
                <w:szCs w:val="24"/>
              </w:rPr>
            </w:pPr>
            <w:r>
              <w:rPr>
                <w:rFonts w:hint="eastAsia" w:ascii="楷体" w:hAnsi="楷体" w:eastAsia="楷体" w:cs="楷体"/>
                <w:sz w:val="24"/>
                <w:szCs w:val="24"/>
              </w:rPr>
              <w:t>因管理问题造成的责任事故</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56484474">
            <w:pPr>
              <w:adjustRightInd w:val="0"/>
              <w:snapToGrid w:val="0"/>
              <w:rPr>
                <w:rFonts w:ascii="楷体" w:hAnsi="楷体" w:eastAsia="楷体" w:cs="楷体"/>
                <w:sz w:val="24"/>
                <w:szCs w:val="24"/>
              </w:rPr>
            </w:pPr>
            <w:r>
              <w:rPr>
                <w:rFonts w:hint="eastAsia" w:ascii="楷体" w:hAnsi="楷体" w:eastAsia="楷体" w:cs="楷体"/>
                <w:sz w:val="24"/>
                <w:szCs w:val="24"/>
              </w:rPr>
              <w:t>每处每次5000-20000元</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172FCC5E">
            <w:pPr>
              <w:adjustRightInd w:val="0"/>
              <w:snapToGrid w:val="0"/>
              <w:rPr>
                <w:rFonts w:ascii="楷体" w:hAnsi="楷体" w:eastAsia="楷体" w:cs="楷体"/>
                <w:sz w:val="24"/>
                <w:szCs w:val="24"/>
              </w:rPr>
            </w:pPr>
          </w:p>
        </w:tc>
      </w:tr>
      <w:tr w14:paraId="47151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491" w:type="pct"/>
            <w:tcBorders>
              <w:top w:val="single" w:color="auto" w:sz="4" w:space="0"/>
              <w:left w:val="single" w:color="auto" w:sz="4" w:space="0"/>
              <w:bottom w:val="single" w:color="auto" w:sz="4" w:space="0"/>
              <w:right w:val="single" w:color="auto" w:sz="4" w:space="0"/>
            </w:tcBorders>
            <w:shd w:val="clear" w:color="auto" w:fill="auto"/>
            <w:vAlign w:val="center"/>
          </w:tcPr>
          <w:p w14:paraId="15D0824A">
            <w:pPr>
              <w:adjustRightInd w:val="0"/>
              <w:snapToGrid w:val="0"/>
              <w:rPr>
                <w:rFonts w:ascii="楷体" w:hAnsi="楷体" w:eastAsia="楷体" w:cs="楷体"/>
                <w:sz w:val="24"/>
                <w:szCs w:val="24"/>
              </w:rPr>
            </w:pPr>
            <w:r>
              <w:rPr>
                <w:rFonts w:hint="eastAsia" w:ascii="楷体" w:hAnsi="楷体" w:eastAsia="楷体" w:cs="楷体"/>
                <w:sz w:val="24"/>
                <w:szCs w:val="24"/>
              </w:rPr>
              <w:t>EHS17</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10982632">
            <w:pPr>
              <w:adjustRightInd w:val="0"/>
              <w:snapToGrid w:val="0"/>
              <w:rPr>
                <w:rFonts w:ascii="楷体" w:hAnsi="楷体" w:eastAsia="楷体" w:cs="楷体"/>
                <w:sz w:val="24"/>
                <w:szCs w:val="24"/>
              </w:rPr>
            </w:pPr>
            <w:r>
              <w:rPr>
                <w:rFonts w:hint="eastAsia" w:ascii="楷体" w:hAnsi="楷体" w:eastAsia="楷体" w:cs="楷体"/>
                <w:sz w:val="24"/>
                <w:szCs w:val="24"/>
              </w:rPr>
              <w:t>因管理问题造成员工上访等恶性事件</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2E396134">
            <w:pPr>
              <w:adjustRightInd w:val="0"/>
              <w:snapToGrid w:val="0"/>
              <w:rPr>
                <w:rFonts w:ascii="楷体" w:hAnsi="楷体" w:eastAsia="楷体" w:cs="楷体"/>
                <w:sz w:val="24"/>
                <w:szCs w:val="24"/>
              </w:rPr>
            </w:pPr>
            <w:r>
              <w:rPr>
                <w:rFonts w:hint="eastAsia" w:ascii="楷体" w:hAnsi="楷体" w:eastAsia="楷体" w:cs="楷体"/>
                <w:sz w:val="24"/>
                <w:szCs w:val="24"/>
              </w:rPr>
              <w:t>每处每次5000-20000元</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7432B6AE">
            <w:pPr>
              <w:adjustRightInd w:val="0"/>
              <w:snapToGrid w:val="0"/>
              <w:rPr>
                <w:rFonts w:ascii="楷体" w:hAnsi="楷体" w:eastAsia="楷体" w:cs="楷体"/>
                <w:sz w:val="24"/>
                <w:szCs w:val="24"/>
              </w:rPr>
            </w:pPr>
          </w:p>
        </w:tc>
      </w:tr>
      <w:tr w14:paraId="647E7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jc w:val="center"/>
        </w:trPr>
        <w:tc>
          <w:tcPr>
            <w:tcW w:w="491" w:type="pct"/>
            <w:tcBorders>
              <w:top w:val="single" w:color="auto" w:sz="4" w:space="0"/>
              <w:left w:val="single" w:color="auto" w:sz="4" w:space="0"/>
              <w:bottom w:val="single" w:color="auto" w:sz="4" w:space="0"/>
              <w:right w:val="single" w:color="auto" w:sz="4" w:space="0"/>
            </w:tcBorders>
            <w:shd w:val="clear" w:color="auto" w:fill="auto"/>
            <w:vAlign w:val="center"/>
          </w:tcPr>
          <w:p w14:paraId="6DB2DE4E">
            <w:pPr>
              <w:adjustRightInd w:val="0"/>
              <w:snapToGrid w:val="0"/>
              <w:rPr>
                <w:rFonts w:ascii="楷体" w:hAnsi="楷体" w:eastAsia="楷体" w:cs="楷体"/>
                <w:sz w:val="24"/>
                <w:szCs w:val="24"/>
              </w:rPr>
            </w:pPr>
            <w:r>
              <w:rPr>
                <w:rFonts w:hint="eastAsia" w:ascii="楷体" w:hAnsi="楷体" w:eastAsia="楷体" w:cs="楷体"/>
                <w:sz w:val="24"/>
                <w:szCs w:val="24"/>
              </w:rPr>
              <w:t>EHS18</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43F1A516">
            <w:pPr>
              <w:adjustRightInd w:val="0"/>
              <w:snapToGrid w:val="0"/>
              <w:rPr>
                <w:rFonts w:ascii="楷体" w:hAnsi="楷体" w:eastAsia="楷体" w:cs="楷体"/>
                <w:sz w:val="24"/>
                <w:szCs w:val="24"/>
              </w:rPr>
            </w:pPr>
            <w:r>
              <w:rPr>
                <w:rFonts w:hint="eastAsia" w:ascii="楷体" w:hAnsi="楷体" w:eastAsia="楷体" w:cs="楷体"/>
                <w:sz w:val="24"/>
                <w:szCs w:val="24"/>
              </w:rPr>
              <w:t>其他违反安全卫生职业健康安全事项，但非本罚则列出者，酌情处罚</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55030B65">
            <w:pPr>
              <w:adjustRightInd w:val="0"/>
              <w:snapToGrid w:val="0"/>
              <w:rPr>
                <w:rFonts w:ascii="楷体" w:hAnsi="楷体" w:eastAsia="楷体" w:cs="楷体"/>
                <w:sz w:val="24"/>
                <w:szCs w:val="24"/>
              </w:rPr>
            </w:pPr>
            <w:r>
              <w:rPr>
                <w:rFonts w:hint="eastAsia" w:ascii="楷体" w:hAnsi="楷体" w:eastAsia="楷体" w:cs="楷体"/>
                <w:sz w:val="24"/>
                <w:szCs w:val="24"/>
              </w:rPr>
              <w:t>每处每次500-200000元</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34775694">
            <w:pPr>
              <w:adjustRightInd w:val="0"/>
              <w:snapToGrid w:val="0"/>
              <w:rPr>
                <w:rFonts w:ascii="楷体" w:hAnsi="楷体" w:eastAsia="楷体" w:cs="楷体"/>
                <w:sz w:val="24"/>
                <w:szCs w:val="24"/>
              </w:rPr>
            </w:pPr>
          </w:p>
        </w:tc>
      </w:tr>
    </w:tbl>
    <w:p w14:paraId="26357958">
      <w:pPr>
        <w:pStyle w:val="2"/>
        <w:ind w:firstLine="480"/>
        <w:rPr>
          <w:rFonts w:ascii="楷体" w:hAnsi="楷体" w:eastAsia="楷体" w:cs="楷体"/>
          <w:bCs/>
          <w:sz w:val="24"/>
          <w:szCs w:val="24"/>
          <w:lang w:bidi="ar"/>
        </w:rPr>
      </w:pPr>
      <w:r>
        <w:rPr>
          <w:rFonts w:hint="eastAsia" w:ascii="楷体" w:hAnsi="楷体" w:eastAsia="楷体" w:cs="楷体"/>
          <w:bCs/>
          <w:sz w:val="24"/>
          <w:szCs w:val="24"/>
          <w:lang w:bidi="ar"/>
        </w:rPr>
        <w:t>4.7.2 文明施工管理</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7"/>
        <w:gridCol w:w="4920"/>
        <w:gridCol w:w="2133"/>
        <w:gridCol w:w="1177"/>
      </w:tblGrid>
      <w:tr w14:paraId="2A6A0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tblHeader/>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3274DB12">
            <w:pPr>
              <w:snapToGrid w:val="0"/>
              <w:rPr>
                <w:rFonts w:ascii="楷体" w:hAnsi="楷体" w:eastAsia="楷体" w:cs="楷体"/>
                <w:sz w:val="24"/>
                <w:szCs w:val="24"/>
              </w:rPr>
            </w:pPr>
            <w:r>
              <w:rPr>
                <w:rFonts w:hint="eastAsia" w:ascii="楷体" w:hAnsi="楷体" w:eastAsia="楷体" w:cs="楷体"/>
                <w:sz w:val="24"/>
                <w:szCs w:val="24"/>
              </w:rPr>
              <w:t>序号</w:t>
            </w:r>
          </w:p>
        </w:tc>
        <w:tc>
          <w:tcPr>
            <w:tcW w:w="2697" w:type="pct"/>
            <w:tcBorders>
              <w:top w:val="single" w:color="auto" w:sz="4" w:space="0"/>
              <w:left w:val="single" w:color="auto" w:sz="4" w:space="0"/>
              <w:bottom w:val="single" w:color="auto" w:sz="4" w:space="0"/>
              <w:right w:val="single" w:color="auto" w:sz="4" w:space="0"/>
            </w:tcBorders>
            <w:shd w:val="clear" w:color="auto" w:fill="auto"/>
            <w:vAlign w:val="center"/>
          </w:tcPr>
          <w:p w14:paraId="0A37F9C3">
            <w:pPr>
              <w:snapToGrid w:val="0"/>
              <w:rPr>
                <w:rFonts w:ascii="楷体" w:hAnsi="楷体" w:eastAsia="楷体" w:cs="楷体"/>
                <w:sz w:val="24"/>
                <w:szCs w:val="24"/>
              </w:rPr>
            </w:pPr>
            <w:r>
              <w:rPr>
                <w:rFonts w:hint="eastAsia" w:ascii="楷体" w:hAnsi="楷体" w:eastAsia="楷体" w:cs="楷体"/>
                <w:sz w:val="24"/>
                <w:szCs w:val="24"/>
              </w:rPr>
              <w:t>违章内容</w:t>
            </w:r>
          </w:p>
        </w:tc>
        <w:tc>
          <w:tcPr>
            <w:tcW w:w="1169" w:type="pct"/>
            <w:tcBorders>
              <w:top w:val="single" w:color="auto" w:sz="4" w:space="0"/>
              <w:left w:val="single" w:color="auto" w:sz="4" w:space="0"/>
              <w:bottom w:val="single" w:color="auto" w:sz="4" w:space="0"/>
              <w:right w:val="single" w:color="auto" w:sz="4" w:space="0"/>
            </w:tcBorders>
            <w:shd w:val="clear" w:color="auto" w:fill="auto"/>
            <w:vAlign w:val="center"/>
          </w:tcPr>
          <w:p w14:paraId="0FB0A0D3">
            <w:pPr>
              <w:snapToGrid w:val="0"/>
              <w:rPr>
                <w:rFonts w:ascii="楷体" w:hAnsi="楷体" w:eastAsia="楷体" w:cs="楷体"/>
                <w:sz w:val="24"/>
                <w:szCs w:val="24"/>
              </w:rPr>
            </w:pPr>
            <w:r>
              <w:rPr>
                <w:rFonts w:hint="eastAsia" w:ascii="楷体" w:hAnsi="楷体" w:eastAsia="楷体" w:cs="楷体"/>
                <w:sz w:val="24"/>
                <w:szCs w:val="24"/>
              </w:rPr>
              <w:t>罚款金额</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1B9C3884">
            <w:pPr>
              <w:snapToGrid w:val="0"/>
              <w:rPr>
                <w:rFonts w:ascii="楷体" w:hAnsi="楷体" w:eastAsia="楷体" w:cs="楷体"/>
                <w:sz w:val="24"/>
                <w:szCs w:val="24"/>
              </w:rPr>
            </w:pPr>
            <w:r>
              <w:rPr>
                <w:rFonts w:hint="eastAsia" w:ascii="楷体" w:hAnsi="楷体" w:eastAsia="楷体" w:cs="楷体"/>
                <w:sz w:val="24"/>
                <w:szCs w:val="24"/>
              </w:rPr>
              <w:t>备注</w:t>
            </w:r>
          </w:p>
        </w:tc>
      </w:tr>
      <w:tr w14:paraId="70A7D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blHeader/>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005F5488">
            <w:pPr>
              <w:snapToGrid w:val="0"/>
              <w:rPr>
                <w:rFonts w:ascii="楷体" w:hAnsi="楷体" w:eastAsia="楷体" w:cs="楷体"/>
                <w:sz w:val="24"/>
                <w:szCs w:val="24"/>
              </w:rPr>
            </w:pPr>
            <w:r>
              <w:rPr>
                <w:rFonts w:hint="eastAsia" w:ascii="楷体" w:hAnsi="楷体" w:eastAsia="楷体" w:cs="楷体"/>
                <w:sz w:val="24"/>
                <w:szCs w:val="24"/>
              </w:rPr>
              <w:t>CC01</w:t>
            </w:r>
          </w:p>
        </w:tc>
        <w:tc>
          <w:tcPr>
            <w:tcW w:w="2697" w:type="pct"/>
            <w:tcBorders>
              <w:top w:val="single" w:color="auto" w:sz="4" w:space="0"/>
              <w:left w:val="single" w:color="auto" w:sz="4" w:space="0"/>
              <w:bottom w:val="single" w:color="auto" w:sz="4" w:space="0"/>
              <w:right w:val="single" w:color="auto" w:sz="4" w:space="0"/>
            </w:tcBorders>
            <w:shd w:val="clear" w:color="auto" w:fill="auto"/>
            <w:vAlign w:val="center"/>
          </w:tcPr>
          <w:p w14:paraId="69A69A89">
            <w:pPr>
              <w:snapToGrid w:val="0"/>
              <w:rPr>
                <w:rFonts w:ascii="楷体" w:hAnsi="楷体" w:eastAsia="楷体" w:cs="楷体"/>
                <w:sz w:val="24"/>
                <w:szCs w:val="24"/>
              </w:rPr>
            </w:pPr>
            <w:r>
              <w:rPr>
                <w:rFonts w:hint="eastAsia" w:ascii="楷体" w:hAnsi="楷体" w:eastAsia="楷体" w:cs="楷体"/>
                <w:sz w:val="24"/>
                <w:szCs w:val="24"/>
              </w:rPr>
              <w:t>进入工地后未佩戴安全帽或未系帽带</w:t>
            </w:r>
          </w:p>
        </w:tc>
        <w:tc>
          <w:tcPr>
            <w:tcW w:w="1169" w:type="pct"/>
            <w:tcBorders>
              <w:top w:val="single" w:color="auto" w:sz="4" w:space="0"/>
              <w:left w:val="single" w:color="auto" w:sz="4" w:space="0"/>
              <w:bottom w:val="single" w:color="auto" w:sz="4" w:space="0"/>
              <w:right w:val="single" w:color="auto" w:sz="4" w:space="0"/>
            </w:tcBorders>
            <w:shd w:val="clear" w:color="auto" w:fill="auto"/>
            <w:vAlign w:val="center"/>
          </w:tcPr>
          <w:p w14:paraId="0581B3B2">
            <w:pPr>
              <w:snapToGrid w:val="0"/>
              <w:rPr>
                <w:rFonts w:ascii="楷体" w:hAnsi="楷体" w:eastAsia="楷体" w:cs="楷体"/>
                <w:sz w:val="24"/>
                <w:szCs w:val="24"/>
              </w:rPr>
            </w:pPr>
            <w:r>
              <w:rPr>
                <w:rFonts w:hint="eastAsia" w:ascii="楷体" w:hAnsi="楷体" w:eastAsia="楷体" w:cs="楷体"/>
                <w:sz w:val="24"/>
                <w:szCs w:val="24"/>
              </w:rPr>
              <w:t>每人每次500元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7583CF23">
            <w:pPr>
              <w:snapToGrid w:val="0"/>
              <w:rPr>
                <w:rFonts w:ascii="楷体" w:hAnsi="楷体" w:eastAsia="楷体" w:cs="楷体"/>
                <w:sz w:val="24"/>
                <w:szCs w:val="24"/>
              </w:rPr>
            </w:pPr>
          </w:p>
        </w:tc>
      </w:tr>
      <w:tr w14:paraId="0A9C0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blHeader/>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50B83808">
            <w:pPr>
              <w:snapToGrid w:val="0"/>
              <w:rPr>
                <w:rFonts w:ascii="楷体" w:hAnsi="楷体" w:eastAsia="楷体" w:cs="楷体"/>
                <w:sz w:val="24"/>
                <w:szCs w:val="24"/>
              </w:rPr>
            </w:pPr>
            <w:r>
              <w:rPr>
                <w:rFonts w:hint="eastAsia" w:ascii="楷体" w:hAnsi="楷体" w:eastAsia="楷体" w:cs="楷体"/>
                <w:sz w:val="24"/>
                <w:szCs w:val="24"/>
              </w:rPr>
              <w:t>CC02</w:t>
            </w:r>
          </w:p>
        </w:tc>
        <w:tc>
          <w:tcPr>
            <w:tcW w:w="2697" w:type="pct"/>
            <w:tcBorders>
              <w:top w:val="single" w:color="auto" w:sz="4" w:space="0"/>
              <w:left w:val="single" w:color="auto" w:sz="4" w:space="0"/>
              <w:bottom w:val="single" w:color="auto" w:sz="4" w:space="0"/>
              <w:right w:val="single" w:color="auto" w:sz="4" w:space="0"/>
            </w:tcBorders>
            <w:shd w:val="clear" w:color="auto" w:fill="auto"/>
            <w:vAlign w:val="center"/>
          </w:tcPr>
          <w:p w14:paraId="7F259687">
            <w:pPr>
              <w:snapToGrid w:val="0"/>
              <w:rPr>
                <w:rFonts w:ascii="楷体" w:hAnsi="楷体" w:eastAsia="楷体" w:cs="楷体"/>
                <w:sz w:val="24"/>
                <w:szCs w:val="24"/>
              </w:rPr>
            </w:pPr>
            <w:r>
              <w:rPr>
                <w:rFonts w:hint="eastAsia" w:ascii="楷体" w:hAnsi="楷体" w:eastAsia="楷体" w:cs="楷体"/>
                <w:sz w:val="24"/>
                <w:szCs w:val="24"/>
              </w:rPr>
              <w:t>进入工地后未穿上工作服</w:t>
            </w:r>
          </w:p>
        </w:tc>
        <w:tc>
          <w:tcPr>
            <w:tcW w:w="1169" w:type="pct"/>
            <w:tcBorders>
              <w:top w:val="single" w:color="auto" w:sz="4" w:space="0"/>
              <w:left w:val="single" w:color="auto" w:sz="4" w:space="0"/>
              <w:bottom w:val="single" w:color="auto" w:sz="4" w:space="0"/>
              <w:right w:val="single" w:color="auto" w:sz="4" w:space="0"/>
            </w:tcBorders>
            <w:shd w:val="clear" w:color="auto" w:fill="auto"/>
            <w:vAlign w:val="center"/>
          </w:tcPr>
          <w:p w14:paraId="4742DF78">
            <w:pPr>
              <w:snapToGrid w:val="0"/>
              <w:rPr>
                <w:rFonts w:ascii="楷体" w:hAnsi="楷体" w:eastAsia="楷体" w:cs="楷体"/>
                <w:sz w:val="24"/>
                <w:szCs w:val="24"/>
              </w:rPr>
            </w:pPr>
            <w:r>
              <w:rPr>
                <w:rFonts w:hint="eastAsia" w:ascii="楷体" w:hAnsi="楷体" w:eastAsia="楷体" w:cs="楷体"/>
                <w:sz w:val="24"/>
                <w:szCs w:val="24"/>
              </w:rPr>
              <w:t>每人每次500元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59D579F7">
            <w:pPr>
              <w:snapToGrid w:val="0"/>
              <w:rPr>
                <w:rFonts w:ascii="楷体" w:hAnsi="楷体" w:eastAsia="楷体" w:cs="楷体"/>
                <w:sz w:val="24"/>
                <w:szCs w:val="24"/>
              </w:rPr>
            </w:pPr>
          </w:p>
        </w:tc>
      </w:tr>
      <w:tr w14:paraId="3B6B3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4992E37C">
            <w:pPr>
              <w:snapToGrid w:val="0"/>
              <w:rPr>
                <w:rFonts w:ascii="楷体" w:hAnsi="楷体" w:eastAsia="楷体" w:cs="楷体"/>
                <w:sz w:val="24"/>
                <w:szCs w:val="24"/>
              </w:rPr>
            </w:pPr>
            <w:r>
              <w:rPr>
                <w:rFonts w:hint="eastAsia" w:ascii="楷体" w:hAnsi="楷体" w:eastAsia="楷体" w:cs="楷体"/>
                <w:sz w:val="24"/>
                <w:szCs w:val="24"/>
              </w:rPr>
              <w:t>CC03</w:t>
            </w:r>
          </w:p>
        </w:tc>
        <w:tc>
          <w:tcPr>
            <w:tcW w:w="2697" w:type="pct"/>
            <w:tcBorders>
              <w:top w:val="single" w:color="auto" w:sz="4" w:space="0"/>
              <w:left w:val="single" w:color="auto" w:sz="4" w:space="0"/>
              <w:bottom w:val="single" w:color="auto" w:sz="4" w:space="0"/>
              <w:right w:val="single" w:color="auto" w:sz="4" w:space="0"/>
            </w:tcBorders>
            <w:shd w:val="clear" w:color="auto" w:fill="auto"/>
            <w:vAlign w:val="center"/>
          </w:tcPr>
          <w:p w14:paraId="6D82BD65">
            <w:pPr>
              <w:snapToGrid w:val="0"/>
              <w:rPr>
                <w:rFonts w:ascii="楷体" w:hAnsi="楷体" w:eastAsia="楷体" w:cs="楷体"/>
                <w:sz w:val="24"/>
                <w:szCs w:val="24"/>
              </w:rPr>
            </w:pPr>
            <w:r>
              <w:rPr>
                <w:rFonts w:hint="eastAsia" w:ascii="楷体" w:hAnsi="楷体" w:eastAsia="楷体" w:cs="楷体"/>
                <w:sz w:val="24"/>
                <w:szCs w:val="24"/>
              </w:rPr>
              <w:t>进入工地未佩戴工作证或借用他人工作证</w:t>
            </w:r>
          </w:p>
        </w:tc>
        <w:tc>
          <w:tcPr>
            <w:tcW w:w="1169" w:type="pct"/>
            <w:tcBorders>
              <w:top w:val="single" w:color="auto" w:sz="4" w:space="0"/>
              <w:left w:val="single" w:color="auto" w:sz="4" w:space="0"/>
              <w:bottom w:val="single" w:color="auto" w:sz="4" w:space="0"/>
              <w:right w:val="single" w:color="auto" w:sz="4" w:space="0"/>
            </w:tcBorders>
            <w:shd w:val="clear" w:color="auto" w:fill="auto"/>
            <w:vAlign w:val="center"/>
          </w:tcPr>
          <w:p w14:paraId="280244E7">
            <w:pPr>
              <w:snapToGrid w:val="0"/>
              <w:rPr>
                <w:rFonts w:ascii="楷体" w:hAnsi="楷体" w:eastAsia="楷体" w:cs="楷体"/>
                <w:sz w:val="24"/>
                <w:szCs w:val="24"/>
              </w:rPr>
            </w:pPr>
            <w:r>
              <w:rPr>
                <w:rFonts w:hint="eastAsia" w:ascii="楷体" w:hAnsi="楷体" w:eastAsia="楷体" w:cs="楷体"/>
                <w:sz w:val="24"/>
                <w:szCs w:val="24"/>
              </w:rPr>
              <w:t>每人每次500元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79744BD4">
            <w:pPr>
              <w:snapToGrid w:val="0"/>
              <w:rPr>
                <w:rFonts w:ascii="楷体" w:hAnsi="楷体" w:eastAsia="楷体" w:cs="楷体"/>
                <w:sz w:val="24"/>
                <w:szCs w:val="24"/>
              </w:rPr>
            </w:pPr>
          </w:p>
        </w:tc>
      </w:tr>
      <w:tr w14:paraId="11E4D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blHeader/>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1439E6F7">
            <w:pPr>
              <w:snapToGrid w:val="0"/>
              <w:rPr>
                <w:rFonts w:ascii="楷体" w:hAnsi="楷体" w:eastAsia="楷体" w:cs="楷体"/>
                <w:sz w:val="24"/>
                <w:szCs w:val="24"/>
              </w:rPr>
            </w:pPr>
            <w:r>
              <w:rPr>
                <w:rFonts w:hint="eastAsia" w:ascii="楷体" w:hAnsi="楷体" w:eastAsia="楷体" w:cs="楷体"/>
                <w:sz w:val="24"/>
                <w:szCs w:val="24"/>
              </w:rPr>
              <w:t>CC04</w:t>
            </w:r>
          </w:p>
        </w:tc>
        <w:tc>
          <w:tcPr>
            <w:tcW w:w="2697" w:type="pct"/>
            <w:tcBorders>
              <w:top w:val="single" w:color="auto" w:sz="4" w:space="0"/>
              <w:left w:val="single" w:color="auto" w:sz="4" w:space="0"/>
              <w:bottom w:val="single" w:color="auto" w:sz="4" w:space="0"/>
              <w:right w:val="single" w:color="auto" w:sz="4" w:space="0"/>
            </w:tcBorders>
            <w:shd w:val="clear" w:color="auto" w:fill="auto"/>
            <w:vAlign w:val="center"/>
          </w:tcPr>
          <w:p w14:paraId="2561FCB6">
            <w:pPr>
              <w:snapToGrid w:val="0"/>
              <w:rPr>
                <w:rFonts w:ascii="楷体" w:hAnsi="楷体" w:eastAsia="楷体" w:cs="楷体"/>
                <w:sz w:val="24"/>
                <w:szCs w:val="24"/>
              </w:rPr>
            </w:pPr>
            <w:r>
              <w:rPr>
                <w:rFonts w:hint="eastAsia" w:ascii="楷体" w:hAnsi="楷体" w:eastAsia="楷体" w:cs="楷体"/>
                <w:sz w:val="24"/>
                <w:szCs w:val="24"/>
              </w:rPr>
              <w:t>进入工地内赤膊、穿背心、拖鞋、短裤、裙子</w:t>
            </w:r>
          </w:p>
        </w:tc>
        <w:tc>
          <w:tcPr>
            <w:tcW w:w="1169" w:type="pct"/>
            <w:tcBorders>
              <w:top w:val="single" w:color="auto" w:sz="4" w:space="0"/>
              <w:left w:val="single" w:color="auto" w:sz="4" w:space="0"/>
              <w:bottom w:val="single" w:color="auto" w:sz="4" w:space="0"/>
              <w:right w:val="single" w:color="auto" w:sz="4" w:space="0"/>
            </w:tcBorders>
            <w:shd w:val="clear" w:color="auto" w:fill="auto"/>
            <w:vAlign w:val="center"/>
          </w:tcPr>
          <w:p w14:paraId="697C1707">
            <w:pPr>
              <w:snapToGrid w:val="0"/>
              <w:rPr>
                <w:rFonts w:ascii="楷体" w:hAnsi="楷体" w:eastAsia="楷体" w:cs="楷体"/>
                <w:sz w:val="24"/>
                <w:szCs w:val="24"/>
              </w:rPr>
            </w:pPr>
            <w:r>
              <w:rPr>
                <w:rFonts w:hint="eastAsia" w:ascii="楷体" w:hAnsi="楷体" w:eastAsia="楷体" w:cs="楷体"/>
                <w:sz w:val="24"/>
                <w:szCs w:val="24"/>
              </w:rPr>
              <w:t>每人每次500元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6AE2839E">
            <w:pPr>
              <w:snapToGrid w:val="0"/>
              <w:rPr>
                <w:rFonts w:ascii="楷体" w:hAnsi="楷体" w:eastAsia="楷体" w:cs="楷体"/>
                <w:sz w:val="24"/>
                <w:szCs w:val="24"/>
              </w:rPr>
            </w:pPr>
          </w:p>
        </w:tc>
      </w:tr>
      <w:tr w14:paraId="1BE54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blHeader/>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3F5D7EC5">
            <w:pPr>
              <w:snapToGrid w:val="0"/>
              <w:rPr>
                <w:rFonts w:ascii="楷体" w:hAnsi="楷体" w:eastAsia="楷体" w:cs="楷体"/>
                <w:sz w:val="24"/>
                <w:szCs w:val="24"/>
              </w:rPr>
            </w:pPr>
            <w:r>
              <w:rPr>
                <w:rFonts w:hint="eastAsia" w:ascii="楷体" w:hAnsi="楷体" w:eastAsia="楷体" w:cs="楷体"/>
                <w:sz w:val="24"/>
                <w:szCs w:val="24"/>
              </w:rPr>
              <w:t>CC05</w:t>
            </w:r>
          </w:p>
        </w:tc>
        <w:tc>
          <w:tcPr>
            <w:tcW w:w="2697" w:type="pct"/>
            <w:tcBorders>
              <w:top w:val="single" w:color="auto" w:sz="4" w:space="0"/>
              <w:left w:val="single" w:color="auto" w:sz="4" w:space="0"/>
              <w:bottom w:val="single" w:color="auto" w:sz="4" w:space="0"/>
              <w:right w:val="single" w:color="auto" w:sz="4" w:space="0"/>
            </w:tcBorders>
            <w:shd w:val="clear" w:color="auto" w:fill="auto"/>
            <w:vAlign w:val="center"/>
          </w:tcPr>
          <w:p w14:paraId="4063EBDE">
            <w:pPr>
              <w:snapToGrid w:val="0"/>
              <w:rPr>
                <w:rFonts w:ascii="楷体" w:hAnsi="楷体" w:eastAsia="楷体" w:cs="楷体"/>
                <w:sz w:val="24"/>
                <w:szCs w:val="24"/>
              </w:rPr>
            </w:pPr>
            <w:r>
              <w:rPr>
                <w:rFonts w:hint="eastAsia" w:ascii="楷体" w:hAnsi="楷体" w:eastAsia="楷体" w:cs="楷体"/>
                <w:sz w:val="24"/>
                <w:szCs w:val="24"/>
              </w:rPr>
              <w:t>未在规定区域抽烟</w:t>
            </w:r>
          </w:p>
        </w:tc>
        <w:tc>
          <w:tcPr>
            <w:tcW w:w="1169" w:type="pct"/>
            <w:tcBorders>
              <w:top w:val="single" w:color="auto" w:sz="4" w:space="0"/>
              <w:left w:val="single" w:color="auto" w:sz="4" w:space="0"/>
              <w:bottom w:val="single" w:color="auto" w:sz="4" w:space="0"/>
              <w:right w:val="single" w:color="auto" w:sz="4" w:space="0"/>
            </w:tcBorders>
            <w:shd w:val="clear" w:color="auto" w:fill="auto"/>
            <w:vAlign w:val="center"/>
          </w:tcPr>
          <w:p w14:paraId="74642F34">
            <w:pPr>
              <w:snapToGrid w:val="0"/>
              <w:rPr>
                <w:rFonts w:ascii="楷体" w:hAnsi="楷体" w:eastAsia="楷体" w:cs="楷体"/>
                <w:sz w:val="24"/>
                <w:szCs w:val="24"/>
              </w:rPr>
            </w:pPr>
            <w:r>
              <w:rPr>
                <w:rFonts w:hint="eastAsia" w:ascii="楷体" w:hAnsi="楷体" w:eastAsia="楷体" w:cs="楷体"/>
                <w:sz w:val="24"/>
                <w:szCs w:val="24"/>
              </w:rPr>
              <w:t>每人每次500元</w:t>
            </w:r>
          </w:p>
          <w:p w14:paraId="109539FA">
            <w:pPr>
              <w:snapToGrid w:val="0"/>
              <w:rPr>
                <w:rFonts w:ascii="楷体" w:hAnsi="楷体" w:eastAsia="楷体" w:cs="楷体"/>
                <w:sz w:val="24"/>
                <w:szCs w:val="24"/>
              </w:rPr>
            </w:pPr>
            <w:r>
              <w:rPr>
                <w:rFonts w:hint="eastAsia" w:ascii="楷体" w:hAnsi="楷体" w:eastAsia="楷体" w:cs="楷体"/>
                <w:sz w:val="24"/>
                <w:szCs w:val="24"/>
              </w:rPr>
              <w:t>危险区域1000元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74ADD20F">
            <w:pPr>
              <w:snapToGrid w:val="0"/>
              <w:rPr>
                <w:rFonts w:ascii="楷体" w:hAnsi="楷体" w:eastAsia="楷体" w:cs="楷体"/>
                <w:sz w:val="24"/>
                <w:szCs w:val="24"/>
              </w:rPr>
            </w:pPr>
          </w:p>
        </w:tc>
      </w:tr>
      <w:tr w14:paraId="00A24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blHeader/>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3FEE9165">
            <w:pPr>
              <w:snapToGrid w:val="0"/>
              <w:rPr>
                <w:rFonts w:ascii="楷体" w:hAnsi="楷体" w:eastAsia="楷体" w:cs="楷体"/>
                <w:sz w:val="24"/>
                <w:szCs w:val="24"/>
              </w:rPr>
            </w:pPr>
            <w:r>
              <w:rPr>
                <w:rFonts w:hint="eastAsia" w:ascii="楷体" w:hAnsi="楷体" w:eastAsia="楷体" w:cs="楷体"/>
                <w:sz w:val="24"/>
                <w:szCs w:val="24"/>
              </w:rPr>
              <w:t>CC06</w:t>
            </w:r>
          </w:p>
        </w:tc>
        <w:tc>
          <w:tcPr>
            <w:tcW w:w="2697" w:type="pct"/>
            <w:tcBorders>
              <w:top w:val="single" w:color="auto" w:sz="4" w:space="0"/>
              <w:left w:val="single" w:color="auto" w:sz="4" w:space="0"/>
              <w:bottom w:val="single" w:color="auto" w:sz="4" w:space="0"/>
              <w:right w:val="single" w:color="auto" w:sz="4" w:space="0"/>
            </w:tcBorders>
            <w:shd w:val="clear" w:color="auto" w:fill="auto"/>
            <w:vAlign w:val="center"/>
          </w:tcPr>
          <w:p w14:paraId="15C64423">
            <w:pPr>
              <w:snapToGrid w:val="0"/>
              <w:rPr>
                <w:rFonts w:ascii="楷体" w:hAnsi="楷体" w:eastAsia="楷体" w:cs="楷体"/>
                <w:sz w:val="24"/>
                <w:szCs w:val="24"/>
              </w:rPr>
            </w:pPr>
            <w:r>
              <w:rPr>
                <w:rFonts w:hint="eastAsia" w:ascii="楷体" w:hAnsi="楷体" w:eastAsia="楷体" w:cs="楷体"/>
                <w:sz w:val="24"/>
                <w:szCs w:val="24"/>
              </w:rPr>
              <w:t>未在规定的区域倾倒垃圾</w:t>
            </w:r>
          </w:p>
        </w:tc>
        <w:tc>
          <w:tcPr>
            <w:tcW w:w="1169" w:type="pct"/>
            <w:tcBorders>
              <w:top w:val="single" w:color="auto" w:sz="4" w:space="0"/>
              <w:left w:val="single" w:color="auto" w:sz="4" w:space="0"/>
              <w:bottom w:val="single" w:color="auto" w:sz="4" w:space="0"/>
              <w:right w:val="single" w:color="auto" w:sz="4" w:space="0"/>
            </w:tcBorders>
            <w:shd w:val="clear" w:color="auto" w:fill="auto"/>
            <w:vAlign w:val="center"/>
          </w:tcPr>
          <w:p w14:paraId="05786A28">
            <w:pPr>
              <w:snapToGrid w:val="0"/>
              <w:rPr>
                <w:rFonts w:ascii="楷体" w:hAnsi="楷体" w:eastAsia="楷体" w:cs="楷体"/>
                <w:sz w:val="24"/>
                <w:szCs w:val="24"/>
              </w:rPr>
            </w:pPr>
            <w:r>
              <w:rPr>
                <w:rFonts w:hint="eastAsia" w:ascii="楷体" w:hAnsi="楷体" w:eastAsia="楷体" w:cs="楷体"/>
                <w:sz w:val="24"/>
                <w:szCs w:val="24"/>
              </w:rPr>
              <w:t>每处每次500-10000元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79A0506C">
            <w:pPr>
              <w:snapToGrid w:val="0"/>
              <w:rPr>
                <w:rFonts w:ascii="楷体" w:hAnsi="楷体" w:eastAsia="楷体" w:cs="楷体"/>
                <w:sz w:val="24"/>
                <w:szCs w:val="24"/>
              </w:rPr>
            </w:pPr>
          </w:p>
        </w:tc>
      </w:tr>
      <w:tr w14:paraId="3BDF5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blHeader/>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61B4FBA9">
            <w:pPr>
              <w:snapToGrid w:val="0"/>
              <w:rPr>
                <w:rFonts w:ascii="楷体" w:hAnsi="楷体" w:eastAsia="楷体" w:cs="楷体"/>
                <w:sz w:val="24"/>
                <w:szCs w:val="24"/>
              </w:rPr>
            </w:pPr>
            <w:r>
              <w:rPr>
                <w:rFonts w:hint="eastAsia" w:ascii="楷体" w:hAnsi="楷体" w:eastAsia="楷体" w:cs="楷体"/>
                <w:sz w:val="24"/>
                <w:szCs w:val="24"/>
              </w:rPr>
              <w:t>CC07</w:t>
            </w:r>
          </w:p>
        </w:tc>
        <w:tc>
          <w:tcPr>
            <w:tcW w:w="2697" w:type="pct"/>
            <w:tcBorders>
              <w:top w:val="single" w:color="auto" w:sz="4" w:space="0"/>
              <w:left w:val="single" w:color="auto" w:sz="4" w:space="0"/>
              <w:bottom w:val="single" w:color="auto" w:sz="4" w:space="0"/>
              <w:right w:val="single" w:color="auto" w:sz="4" w:space="0"/>
            </w:tcBorders>
            <w:shd w:val="clear" w:color="auto" w:fill="auto"/>
            <w:vAlign w:val="center"/>
          </w:tcPr>
          <w:p w14:paraId="45142254">
            <w:pPr>
              <w:snapToGrid w:val="0"/>
              <w:rPr>
                <w:rFonts w:ascii="楷体" w:hAnsi="楷体" w:eastAsia="楷体" w:cs="楷体"/>
                <w:sz w:val="24"/>
                <w:szCs w:val="24"/>
              </w:rPr>
            </w:pPr>
            <w:r>
              <w:rPr>
                <w:rFonts w:hint="eastAsia" w:ascii="楷体" w:hAnsi="楷体" w:eastAsia="楷体" w:cs="楷体"/>
                <w:sz w:val="24"/>
                <w:szCs w:val="24"/>
              </w:rPr>
              <w:t>在工地现场席地躺睡</w:t>
            </w:r>
          </w:p>
        </w:tc>
        <w:tc>
          <w:tcPr>
            <w:tcW w:w="1169" w:type="pct"/>
            <w:tcBorders>
              <w:top w:val="single" w:color="auto" w:sz="4" w:space="0"/>
              <w:left w:val="single" w:color="auto" w:sz="4" w:space="0"/>
              <w:bottom w:val="single" w:color="auto" w:sz="4" w:space="0"/>
              <w:right w:val="single" w:color="auto" w:sz="4" w:space="0"/>
            </w:tcBorders>
            <w:shd w:val="clear" w:color="auto" w:fill="auto"/>
            <w:vAlign w:val="center"/>
          </w:tcPr>
          <w:p w14:paraId="3540162F">
            <w:pPr>
              <w:snapToGrid w:val="0"/>
              <w:rPr>
                <w:rFonts w:ascii="楷体" w:hAnsi="楷体" w:eastAsia="楷体" w:cs="楷体"/>
                <w:sz w:val="24"/>
                <w:szCs w:val="24"/>
              </w:rPr>
            </w:pPr>
            <w:r>
              <w:rPr>
                <w:rFonts w:hint="eastAsia" w:ascii="楷体" w:hAnsi="楷体" w:eastAsia="楷体" w:cs="楷体"/>
                <w:sz w:val="24"/>
                <w:szCs w:val="24"/>
              </w:rPr>
              <w:t>每人每次500元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19579459">
            <w:pPr>
              <w:snapToGrid w:val="0"/>
              <w:rPr>
                <w:rFonts w:ascii="楷体" w:hAnsi="楷体" w:eastAsia="楷体" w:cs="楷体"/>
                <w:sz w:val="24"/>
                <w:szCs w:val="24"/>
              </w:rPr>
            </w:pPr>
          </w:p>
        </w:tc>
      </w:tr>
      <w:tr w14:paraId="372EF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blHeader/>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516D6D83">
            <w:pPr>
              <w:snapToGrid w:val="0"/>
              <w:rPr>
                <w:rFonts w:ascii="楷体" w:hAnsi="楷体" w:eastAsia="楷体" w:cs="楷体"/>
                <w:sz w:val="24"/>
                <w:szCs w:val="24"/>
              </w:rPr>
            </w:pPr>
            <w:r>
              <w:rPr>
                <w:rFonts w:hint="eastAsia" w:ascii="楷体" w:hAnsi="楷体" w:eastAsia="楷体" w:cs="楷体"/>
                <w:sz w:val="24"/>
                <w:szCs w:val="24"/>
              </w:rPr>
              <w:t>CC08</w:t>
            </w:r>
          </w:p>
        </w:tc>
        <w:tc>
          <w:tcPr>
            <w:tcW w:w="2697" w:type="pct"/>
            <w:tcBorders>
              <w:top w:val="single" w:color="auto" w:sz="4" w:space="0"/>
              <w:left w:val="single" w:color="auto" w:sz="4" w:space="0"/>
              <w:bottom w:val="single" w:color="auto" w:sz="4" w:space="0"/>
              <w:right w:val="single" w:color="auto" w:sz="4" w:space="0"/>
            </w:tcBorders>
            <w:shd w:val="clear" w:color="auto" w:fill="auto"/>
            <w:vAlign w:val="center"/>
          </w:tcPr>
          <w:p w14:paraId="4397B288">
            <w:pPr>
              <w:snapToGrid w:val="0"/>
              <w:rPr>
                <w:rFonts w:ascii="楷体" w:hAnsi="楷体" w:eastAsia="楷体" w:cs="楷体"/>
                <w:sz w:val="24"/>
                <w:szCs w:val="24"/>
              </w:rPr>
            </w:pPr>
            <w:r>
              <w:rPr>
                <w:rFonts w:hint="eastAsia" w:ascii="楷体" w:hAnsi="楷体" w:eastAsia="楷体" w:cs="楷体"/>
                <w:sz w:val="24"/>
                <w:szCs w:val="24"/>
              </w:rPr>
              <w:t>未在指定区域大小便、洗浴等</w:t>
            </w:r>
          </w:p>
        </w:tc>
        <w:tc>
          <w:tcPr>
            <w:tcW w:w="1169" w:type="pct"/>
            <w:tcBorders>
              <w:top w:val="single" w:color="auto" w:sz="4" w:space="0"/>
              <w:left w:val="single" w:color="auto" w:sz="4" w:space="0"/>
              <w:bottom w:val="single" w:color="auto" w:sz="4" w:space="0"/>
              <w:right w:val="single" w:color="auto" w:sz="4" w:space="0"/>
            </w:tcBorders>
            <w:shd w:val="clear" w:color="auto" w:fill="auto"/>
            <w:vAlign w:val="center"/>
          </w:tcPr>
          <w:p w14:paraId="0774A47F">
            <w:pPr>
              <w:snapToGrid w:val="0"/>
              <w:rPr>
                <w:rFonts w:ascii="楷体" w:hAnsi="楷体" w:eastAsia="楷体" w:cs="楷体"/>
                <w:sz w:val="24"/>
                <w:szCs w:val="24"/>
              </w:rPr>
            </w:pPr>
            <w:r>
              <w:rPr>
                <w:rFonts w:hint="eastAsia" w:ascii="楷体" w:hAnsi="楷体" w:eastAsia="楷体" w:cs="楷体"/>
                <w:sz w:val="24"/>
                <w:szCs w:val="24"/>
              </w:rPr>
              <w:t>每人每次1000元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5E4AE806">
            <w:pPr>
              <w:snapToGrid w:val="0"/>
              <w:rPr>
                <w:rFonts w:ascii="楷体" w:hAnsi="楷体" w:eastAsia="楷体" w:cs="楷体"/>
                <w:sz w:val="24"/>
                <w:szCs w:val="24"/>
              </w:rPr>
            </w:pPr>
          </w:p>
        </w:tc>
      </w:tr>
      <w:tr w14:paraId="5CD7F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blHeader/>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0E7A5593">
            <w:pPr>
              <w:snapToGrid w:val="0"/>
              <w:rPr>
                <w:rFonts w:ascii="楷体" w:hAnsi="楷体" w:eastAsia="楷体" w:cs="楷体"/>
                <w:sz w:val="24"/>
                <w:szCs w:val="24"/>
              </w:rPr>
            </w:pPr>
            <w:r>
              <w:rPr>
                <w:rFonts w:hint="eastAsia" w:ascii="楷体" w:hAnsi="楷体" w:eastAsia="楷体" w:cs="楷体"/>
                <w:sz w:val="24"/>
                <w:szCs w:val="24"/>
              </w:rPr>
              <w:t>CC09</w:t>
            </w:r>
          </w:p>
        </w:tc>
        <w:tc>
          <w:tcPr>
            <w:tcW w:w="2697" w:type="pct"/>
            <w:tcBorders>
              <w:top w:val="single" w:color="auto" w:sz="4" w:space="0"/>
              <w:left w:val="single" w:color="auto" w:sz="4" w:space="0"/>
              <w:bottom w:val="single" w:color="auto" w:sz="4" w:space="0"/>
              <w:right w:val="single" w:color="auto" w:sz="4" w:space="0"/>
            </w:tcBorders>
            <w:shd w:val="clear" w:color="auto" w:fill="auto"/>
            <w:vAlign w:val="center"/>
          </w:tcPr>
          <w:p w14:paraId="3735E940">
            <w:pPr>
              <w:snapToGrid w:val="0"/>
              <w:rPr>
                <w:rFonts w:ascii="楷体" w:hAnsi="楷体" w:eastAsia="楷体" w:cs="楷体"/>
                <w:sz w:val="24"/>
                <w:szCs w:val="24"/>
              </w:rPr>
            </w:pPr>
            <w:r>
              <w:rPr>
                <w:rFonts w:hint="eastAsia" w:ascii="楷体" w:hAnsi="楷体" w:eastAsia="楷体" w:cs="楷体"/>
                <w:sz w:val="24"/>
                <w:szCs w:val="24"/>
              </w:rPr>
              <w:t>酒后进入（含酒精性饮料、迷幻剂等）工地</w:t>
            </w:r>
          </w:p>
        </w:tc>
        <w:tc>
          <w:tcPr>
            <w:tcW w:w="1169" w:type="pct"/>
            <w:tcBorders>
              <w:top w:val="single" w:color="auto" w:sz="4" w:space="0"/>
              <w:left w:val="single" w:color="auto" w:sz="4" w:space="0"/>
              <w:bottom w:val="single" w:color="auto" w:sz="4" w:space="0"/>
              <w:right w:val="single" w:color="auto" w:sz="4" w:space="0"/>
            </w:tcBorders>
            <w:shd w:val="clear" w:color="auto" w:fill="auto"/>
            <w:vAlign w:val="center"/>
          </w:tcPr>
          <w:p w14:paraId="4D47FC8A">
            <w:pPr>
              <w:snapToGrid w:val="0"/>
              <w:rPr>
                <w:rFonts w:ascii="楷体" w:hAnsi="楷体" w:eastAsia="楷体" w:cs="楷体"/>
                <w:sz w:val="24"/>
                <w:szCs w:val="24"/>
              </w:rPr>
            </w:pPr>
            <w:r>
              <w:rPr>
                <w:rFonts w:hint="eastAsia" w:ascii="楷体" w:hAnsi="楷体" w:eastAsia="楷体" w:cs="楷体"/>
                <w:sz w:val="24"/>
                <w:szCs w:val="24"/>
              </w:rPr>
              <w:t>每处每次1000元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1F0974C0">
            <w:pPr>
              <w:snapToGrid w:val="0"/>
              <w:rPr>
                <w:rFonts w:ascii="楷体" w:hAnsi="楷体" w:eastAsia="楷体" w:cs="楷体"/>
                <w:sz w:val="24"/>
                <w:szCs w:val="24"/>
              </w:rPr>
            </w:pPr>
          </w:p>
        </w:tc>
      </w:tr>
      <w:tr w14:paraId="29F41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blHeader/>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244310D8">
            <w:pPr>
              <w:snapToGrid w:val="0"/>
              <w:rPr>
                <w:rFonts w:ascii="楷体" w:hAnsi="楷体" w:eastAsia="楷体" w:cs="楷体"/>
                <w:sz w:val="24"/>
                <w:szCs w:val="24"/>
              </w:rPr>
            </w:pPr>
            <w:r>
              <w:rPr>
                <w:rFonts w:hint="eastAsia" w:ascii="楷体" w:hAnsi="楷体" w:eastAsia="楷体" w:cs="楷体"/>
                <w:sz w:val="24"/>
                <w:szCs w:val="24"/>
              </w:rPr>
              <w:t>CC10</w:t>
            </w:r>
          </w:p>
        </w:tc>
        <w:tc>
          <w:tcPr>
            <w:tcW w:w="2697" w:type="pct"/>
            <w:tcBorders>
              <w:top w:val="single" w:color="auto" w:sz="4" w:space="0"/>
              <w:left w:val="single" w:color="auto" w:sz="4" w:space="0"/>
              <w:bottom w:val="single" w:color="auto" w:sz="4" w:space="0"/>
              <w:right w:val="single" w:color="auto" w:sz="4" w:space="0"/>
            </w:tcBorders>
            <w:shd w:val="clear" w:color="auto" w:fill="auto"/>
            <w:vAlign w:val="center"/>
          </w:tcPr>
          <w:p w14:paraId="17C5B40B">
            <w:pPr>
              <w:snapToGrid w:val="0"/>
              <w:rPr>
                <w:rFonts w:ascii="楷体" w:hAnsi="楷体" w:eastAsia="楷体" w:cs="楷体"/>
                <w:sz w:val="24"/>
                <w:szCs w:val="24"/>
              </w:rPr>
            </w:pPr>
            <w:r>
              <w:rPr>
                <w:rFonts w:hint="eastAsia" w:ascii="楷体" w:hAnsi="楷体" w:eastAsia="楷体" w:cs="楷体"/>
                <w:sz w:val="24"/>
                <w:szCs w:val="24"/>
              </w:rPr>
              <w:t>未按照国家标准做好噪声排放、污水处理和环境保护措施</w:t>
            </w:r>
          </w:p>
        </w:tc>
        <w:tc>
          <w:tcPr>
            <w:tcW w:w="1169" w:type="pct"/>
            <w:tcBorders>
              <w:top w:val="single" w:color="auto" w:sz="4" w:space="0"/>
              <w:left w:val="single" w:color="auto" w:sz="4" w:space="0"/>
              <w:bottom w:val="single" w:color="auto" w:sz="4" w:space="0"/>
              <w:right w:val="single" w:color="auto" w:sz="4" w:space="0"/>
            </w:tcBorders>
            <w:shd w:val="clear" w:color="auto" w:fill="auto"/>
            <w:vAlign w:val="center"/>
          </w:tcPr>
          <w:p w14:paraId="700B8CA8">
            <w:pPr>
              <w:snapToGrid w:val="0"/>
              <w:rPr>
                <w:rFonts w:ascii="楷体" w:hAnsi="楷体" w:eastAsia="楷体" w:cs="楷体"/>
                <w:sz w:val="24"/>
                <w:szCs w:val="24"/>
              </w:rPr>
            </w:pPr>
            <w:r>
              <w:rPr>
                <w:rFonts w:hint="eastAsia" w:ascii="楷体" w:hAnsi="楷体" w:eastAsia="楷体" w:cs="楷体"/>
                <w:sz w:val="24"/>
                <w:szCs w:val="24"/>
              </w:rPr>
              <w:t>每处每次5000元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5253FC3F">
            <w:pPr>
              <w:snapToGrid w:val="0"/>
              <w:rPr>
                <w:rFonts w:ascii="楷体" w:hAnsi="楷体" w:eastAsia="楷体" w:cs="楷体"/>
                <w:sz w:val="24"/>
                <w:szCs w:val="24"/>
              </w:rPr>
            </w:pPr>
          </w:p>
        </w:tc>
      </w:tr>
      <w:tr w14:paraId="2E989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blHeader/>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3B584D97">
            <w:pPr>
              <w:snapToGrid w:val="0"/>
              <w:rPr>
                <w:rFonts w:ascii="楷体" w:hAnsi="楷体" w:eastAsia="楷体" w:cs="楷体"/>
                <w:sz w:val="24"/>
                <w:szCs w:val="24"/>
              </w:rPr>
            </w:pPr>
            <w:r>
              <w:rPr>
                <w:rFonts w:hint="eastAsia" w:ascii="楷体" w:hAnsi="楷体" w:eastAsia="楷体" w:cs="楷体"/>
                <w:sz w:val="24"/>
                <w:szCs w:val="24"/>
              </w:rPr>
              <w:t>CC11</w:t>
            </w:r>
          </w:p>
        </w:tc>
        <w:tc>
          <w:tcPr>
            <w:tcW w:w="2697" w:type="pct"/>
            <w:tcBorders>
              <w:top w:val="single" w:color="auto" w:sz="4" w:space="0"/>
              <w:left w:val="single" w:color="auto" w:sz="4" w:space="0"/>
              <w:bottom w:val="single" w:color="auto" w:sz="4" w:space="0"/>
              <w:right w:val="single" w:color="auto" w:sz="4" w:space="0"/>
            </w:tcBorders>
            <w:shd w:val="clear" w:color="auto" w:fill="auto"/>
            <w:vAlign w:val="center"/>
          </w:tcPr>
          <w:p w14:paraId="4EFB33AC">
            <w:pPr>
              <w:snapToGrid w:val="0"/>
              <w:rPr>
                <w:rFonts w:ascii="楷体" w:hAnsi="楷体" w:eastAsia="楷体" w:cs="楷体"/>
                <w:sz w:val="24"/>
                <w:szCs w:val="24"/>
              </w:rPr>
            </w:pPr>
            <w:r>
              <w:rPr>
                <w:rFonts w:hint="eastAsia" w:ascii="楷体" w:hAnsi="楷体" w:eastAsia="楷体" w:cs="楷体"/>
                <w:sz w:val="24"/>
                <w:szCs w:val="24"/>
              </w:rPr>
              <w:t>加工区、预制区、施工现场未及时进行5S清理</w:t>
            </w:r>
          </w:p>
        </w:tc>
        <w:tc>
          <w:tcPr>
            <w:tcW w:w="1169" w:type="pct"/>
            <w:tcBorders>
              <w:top w:val="single" w:color="auto" w:sz="4" w:space="0"/>
              <w:left w:val="single" w:color="auto" w:sz="4" w:space="0"/>
              <w:bottom w:val="single" w:color="auto" w:sz="4" w:space="0"/>
              <w:right w:val="single" w:color="auto" w:sz="4" w:space="0"/>
            </w:tcBorders>
            <w:shd w:val="clear" w:color="auto" w:fill="auto"/>
            <w:vAlign w:val="center"/>
          </w:tcPr>
          <w:p w14:paraId="301D305F">
            <w:pPr>
              <w:snapToGrid w:val="0"/>
              <w:rPr>
                <w:rFonts w:ascii="楷体" w:hAnsi="楷体" w:eastAsia="楷体" w:cs="楷体"/>
                <w:sz w:val="24"/>
                <w:szCs w:val="24"/>
              </w:rPr>
            </w:pPr>
            <w:r>
              <w:rPr>
                <w:rFonts w:hint="eastAsia" w:ascii="楷体" w:hAnsi="楷体" w:eastAsia="楷体" w:cs="楷体"/>
                <w:sz w:val="24"/>
                <w:szCs w:val="24"/>
              </w:rPr>
              <w:t>每处每次1000元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5F6C3E58">
            <w:pPr>
              <w:snapToGrid w:val="0"/>
              <w:rPr>
                <w:rFonts w:ascii="楷体" w:hAnsi="楷体" w:eastAsia="楷体" w:cs="楷体"/>
                <w:sz w:val="24"/>
                <w:szCs w:val="24"/>
              </w:rPr>
            </w:pPr>
          </w:p>
        </w:tc>
      </w:tr>
      <w:tr w14:paraId="1CD25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blHeader/>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79B8D967">
            <w:pPr>
              <w:snapToGrid w:val="0"/>
              <w:rPr>
                <w:rFonts w:ascii="楷体" w:hAnsi="楷体" w:eastAsia="楷体" w:cs="楷体"/>
                <w:sz w:val="24"/>
                <w:szCs w:val="24"/>
              </w:rPr>
            </w:pPr>
            <w:r>
              <w:rPr>
                <w:rFonts w:hint="eastAsia" w:ascii="楷体" w:hAnsi="楷体" w:eastAsia="楷体" w:cs="楷体"/>
                <w:sz w:val="24"/>
                <w:szCs w:val="24"/>
              </w:rPr>
              <w:t>CC12</w:t>
            </w:r>
          </w:p>
        </w:tc>
        <w:tc>
          <w:tcPr>
            <w:tcW w:w="2697" w:type="pct"/>
            <w:tcBorders>
              <w:top w:val="single" w:color="auto" w:sz="4" w:space="0"/>
              <w:left w:val="single" w:color="auto" w:sz="4" w:space="0"/>
              <w:bottom w:val="single" w:color="auto" w:sz="4" w:space="0"/>
              <w:right w:val="single" w:color="auto" w:sz="4" w:space="0"/>
            </w:tcBorders>
            <w:shd w:val="clear" w:color="auto" w:fill="auto"/>
            <w:vAlign w:val="center"/>
          </w:tcPr>
          <w:p w14:paraId="6668A356">
            <w:pPr>
              <w:snapToGrid w:val="0"/>
              <w:rPr>
                <w:rFonts w:ascii="楷体" w:hAnsi="楷体" w:eastAsia="楷体" w:cs="楷体"/>
                <w:sz w:val="24"/>
                <w:szCs w:val="24"/>
              </w:rPr>
            </w:pPr>
            <w:r>
              <w:rPr>
                <w:rFonts w:hint="eastAsia" w:ascii="楷体" w:hAnsi="楷体" w:eastAsia="楷体" w:cs="楷体"/>
                <w:sz w:val="24"/>
                <w:szCs w:val="24"/>
              </w:rPr>
              <w:t>生活区、食堂不符合环境与卫生要求</w:t>
            </w:r>
          </w:p>
        </w:tc>
        <w:tc>
          <w:tcPr>
            <w:tcW w:w="1169" w:type="pct"/>
            <w:tcBorders>
              <w:top w:val="single" w:color="auto" w:sz="4" w:space="0"/>
              <w:left w:val="single" w:color="auto" w:sz="4" w:space="0"/>
              <w:bottom w:val="single" w:color="auto" w:sz="4" w:space="0"/>
              <w:right w:val="single" w:color="auto" w:sz="4" w:space="0"/>
            </w:tcBorders>
            <w:shd w:val="clear" w:color="auto" w:fill="auto"/>
            <w:vAlign w:val="center"/>
          </w:tcPr>
          <w:p w14:paraId="19D8A2D3">
            <w:pPr>
              <w:snapToGrid w:val="0"/>
              <w:rPr>
                <w:rFonts w:ascii="楷体" w:hAnsi="楷体" w:eastAsia="楷体" w:cs="楷体"/>
                <w:sz w:val="24"/>
                <w:szCs w:val="24"/>
              </w:rPr>
            </w:pPr>
            <w:r>
              <w:rPr>
                <w:rFonts w:hint="eastAsia" w:ascii="楷体" w:hAnsi="楷体" w:eastAsia="楷体" w:cs="楷体"/>
                <w:sz w:val="24"/>
                <w:szCs w:val="24"/>
              </w:rPr>
              <w:t>每处每次2000元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7883B067">
            <w:pPr>
              <w:snapToGrid w:val="0"/>
              <w:rPr>
                <w:rFonts w:ascii="楷体" w:hAnsi="楷体" w:eastAsia="楷体" w:cs="楷体"/>
                <w:sz w:val="24"/>
                <w:szCs w:val="24"/>
              </w:rPr>
            </w:pPr>
          </w:p>
        </w:tc>
      </w:tr>
      <w:tr w14:paraId="19DC4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blHeader/>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24DE586A">
            <w:pPr>
              <w:snapToGrid w:val="0"/>
              <w:rPr>
                <w:rFonts w:ascii="楷体" w:hAnsi="楷体" w:eastAsia="楷体" w:cs="楷体"/>
                <w:sz w:val="24"/>
                <w:szCs w:val="24"/>
              </w:rPr>
            </w:pPr>
            <w:r>
              <w:rPr>
                <w:rFonts w:hint="eastAsia" w:ascii="楷体" w:hAnsi="楷体" w:eastAsia="楷体" w:cs="楷体"/>
                <w:sz w:val="24"/>
                <w:szCs w:val="24"/>
              </w:rPr>
              <w:t>CC13</w:t>
            </w:r>
          </w:p>
        </w:tc>
        <w:tc>
          <w:tcPr>
            <w:tcW w:w="2697" w:type="pct"/>
            <w:tcBorders>
              <w:top w:val="single" w:color="auto" w:sz="4" w:space="0"/>
              <w:left w:val="single" w:color="auto" w:sz="4" w:space="0"/>
              <w:bottom w:val="single" w:color="auto" w:sz="4" w:space="0"/>
              <w:right w:val="single" w:color="auto" w:sz="4" w:space="0"/>
            </w:tcBorders>
            <w:shd w:val="clear" w:color="auto" w:fill="auto"/>
            <w:vAlign w:val="center"/>
          </w:tcPr>
          <w:p w14:paraId="44778295">
            <w:pPr>
              <w:snapToGrid w:val="0"/>
              <w:rPr>
                <w:rFonts w:ascii="楷体" w:hAnsi="楷体" w:eastAsia="楷体" w:cs="楷体"/>
                <w:sz w:val="24"/>
                <w:szCs w:val="24"/>
              </w:rPr>
            </w:pPr>
            <w:r>
              <w:rPr>
                <w:rFonts w:hint="eastAsia" w:ascii="楷体" w:hAnsi="楷体" w:eastAsia="楷体" w:cs="楷体"/>
                <w:sz w:val="24"/>
                <w:szCs w:val="24"/>
              </w:rPr>
              <w:t>食堂采购、出售变质过期食物的</w:t>
            </w:r>
          </w:p>
        </w:tc>
        <w:tc>
          <w:tcPr>
            <w:tcW w:w="1169" w:type="pct"/>
            <w:tcBorders>
              <w:top w:val="single" w:color="auto" w:sz="4" w:space="0"/>
              <w:left w:val="single" w:color="auto" w:sz="4" w:space="0"/>
              <w:bottom w:val="single" w:color="auto" w:sz="4" w:space="0"/>
              <w:right w:val="single" w:color="auto" w:sz="4" w:space="0"/>
            </w:tcBorders>
            <w:shd w:val="clear" w:color="auto" w:fill="auto"/>
            <w:vAlign w:val="center"/>
          </w:tcPr>
          <w:p w14:paraId="7044BA1F">
            <w:pPr>
              <w:snapToGrid w:val="0"/>
              <w:rPr>
                <w:rFonts w:ascii="楷体" w:hAnsi="楷体" w:eastAsia="楷体" w:cs="楷体"/>
                <w:sz w:val="24"/>
                <w:szCs w:val="24"/>
              </w:rPr>
            </w:pPr>
            <w:r>
              <w:rPr>
                <w:rFonts w:hint="eastAsia" w:ascii="楷体" w:hAnsi="楷体" w:eastAsia="楷体" w:cs="楷体"/>
                <w:sz w:val="24"/>
                <w:szCs w:val="24"/>
              </w:rPr>
              <w:t>每处每次5000元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4B4019E9">
            <w:pPr>
              <w:snapToGrid w:val="0"/>
              <w:rPr>
                <w:rFonts w:ascii="楷体" w:hAnsi="楷体" w:eastAsia="楷体" w:cs="楷体"/>
                <w:sz w:val="24"/>
                <w:szCs w:val="24"/>
              </w:rPr>
            </w:pPr>
          </w:p>
        </w:tc>
      </w:tr>
      <w:tr w14:paraId="0C0FB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blHeader/>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6F27F0CB">
            <w:pPr>
              <w:snapToGrid w:val="0"/>
              <w:rPr>
                <w:rFonts w:ascii="楷体" w:hAnsi="楷体" w:eastAsia="楷体" w:cs="楷体"/>
                <w:sz w:val="24"/>
                <w:szCs w:val="24"/>
              </w:rPr>
            </w:pPr>
            <w:r>
              <w:rPr>
                <w:rFonts w:hint="eastAsia" w:ascii="楷体" w:hAnsi="楷体" w:eastAsia="楷体" w:cs="楷体"/>
                <w:sz w:val="24"/>
                <w:szCs w:val="24"/>
              </w:rPr>
              <w:t>CC14</w:t>
            </w:r>
          </w:p>
        </w:tc>
        <w:tc>
          <w:tcPr>
            <w:tcW w:w="2697" w:type="pct"/>
            <w:tcBorders>
              <w:top w:val="single" w:color="auto" w:sz="4" w:space="0"/>
              <w:left w:val="single" w:color="auto" w:sz="4" w:space="0"/>
              <w:bottom w:val="single" w:color="auto" w:sz="4" w:space="0"/>
              <w:right w:val="single" w:color="auto" w:sz="4" w:space="0"/>
            </w:tcBorders>
            <w:shd w:val="clear" w:color="auto" w:fill="auto"/>
            <w:vAlign w:val="center"/>
          </w:tcPr>
          <w:p w14:paraId="2D6D702A">
            <w:pPr>
              <w:snapToGrid w:val="0"/>
              <w:rPr>
                <w:rFonts w:ascii="楷体" w:hAnsi="楷体" w:eastAsia="楷体" w:cs="楷体"/>
                <w:sz w:val="24"/>
                <w:szCs w:val="24"/>
              </w:rPr>
            </w:pPr>
            <w:r>
              <w:rPr>
                <w:rFonts w:hint="eastAsia" w:ascii="楷体" w:hAnsi="楷体" w:eastAsia="楷体" w:cs="楷体"/>
                <w:sz w:val="24"/>
                <w:szCs w:val="24"/>
              </w:rPr>
              <w:t>其他违反国家相关标准或项目管理规定</w:t>
            </w:r>
          </w:p>
        </w:tc>
        <w:tc>
          <w:tcPr>
            <w:tcW w:w="1169" w:type="pct"/>
            <w:tcBorders>
              <w:top w:val="single" w:color="auto" w:sz="4" w:space="0"/>
              <w:left w:val="single" w:color="auto" w:sz="4" w:space="0"/>
              <w:bottom w:val="single" w:color="auto" w:sz="4" w:space="0"/>
              <w:right w:val="single" w:color="auto" w:sz="4" w:space="0"/>
            </w:tcBorders>
            <w:shd w:val="clear" w:color="auto" w:fill="auto"/>
            <w:vAlign w:val="center"/>
          </w:tcPr>
          <w:p w14:paraId="66205BA6">
            <w:pPr>
              <w:snapToGrid w:val="0"/>
              <w:rPr>
                <w:rFonts w:ascii="楷体" w:hAnsi="楷体" w:eastAsia="楷体" w:cs="楷体"/>
                <w:sz w:val="24"/>
                <w:szCs w:val="24"/>
              </w:rPr>
            </w:pPr>
            <w:r>
              <w:rPr>
                <w:rFonts w:hint="eastAsia" w:ascii="楷体" w:hAnsi="楷体" w:eastAsia="楷体" w:cs="楷体"/>
                <w:sz w:val="24"/>
                <w:szCs w:val="24"/>
              </w:rPr>
              <w:t>每处每次500-50000元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23BEB671">
            <w:pPr>
              <w:snapToGrid w:val="0"/>
              <w:rPr>
                <w:rFonts w:ascii="楷体" w:hAnsi="楷体" w:eastAsia="楷体" w:cs="楷体"/>
                <w:sz w:val="24"/>
                <w:szCs w:val="24"/>
              </w:rPr>
            </w:pPr>
          </w:p>
        </w:tc>
      </w:tr>
    </w:tbl>
    <w:p w14:paraId="6F0BADDF">
      <w:pPr>
        <w:pStyle w:val="2"/>
        <w:ind w:firstLine="480"/>
        <w:rPr>
          <w:rFonts w:ascii="楷体" w:hAnsi="楷体" w:eastAsia="楷体" w:cs="楷体"/>
          <w:bCs/>
          <w:sz w:val="24"/>
          <w:szCs w:val="24"/>
        </w:rPr>
      </w:pPr>
      <w:r>
        <w:rPr>
          <w:rFonts w:hint="eastAsia" w:ascii="楷体" w:hAnsi="楷体" w:eastAsia="楷体" w:cs="楷体"/>
          <w:bCs/>
          <w:sz w:val="24"/>
          <w:szCs w:val="24"/>
          <w:lang w:bidi="ar"/>
        </w:rPr>
        <w:t>4.7.3 消防动火作业管理</w:t>
      </w:r>
    </w:p>
    <w:tbl>
      <w:tblPr>
        <w:tblStyle w:val="14"/>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2"/>
        <w:gridCol w:w="4312"/>
        <w:gridCol w:w="2277"/>
        <w:gridCol w:w="1494"/>
      </w:tblGrid>
      <w:tr w14:paraId="42B42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blHeader/>
          <w:jc w:val="center"/>
        </w:trPr>
        <w:tc>
          <w:tcPr>
            <w:tcW w:w="566" w:type="pct"/>
            <w:tcBorders>
              <w:top w:val="single" w:color="auto" w:sz="4" w:space="0"/>
              <w:left w:val="single" w:color="auto" w:sz="4" w:space="0"/>
              <w:bottom w:val="single" w:color="auto" w:sz="4" w:space="0"/>
              <w:right w:val="single" w:color="auto" w:sz="4" w:space="0"/>
            </w:tcBorders>
            <w:shd w:val="clear" w:color="auto" w:fill="auto"/>
            <w:vAlign w:val="center"/>
          </w:tcPr>
          <w:p w14:paraId="3B2AECD3">
            <w:pPr>
              <w:rPr>
                <w:rFonts w:ascii="楷体" w:hAnsi="楷体" w:eastAsia="楷体" w:cs="楷体"/>
                <w:sz w:val="24"/>
                <w:szCs w:val="24"/>
              </w:rPr>
            </w:pPr>
            <w:r>
              <w:rPr>
                <w:rFonts w:hint="eastAsia" w:ascii="楷体" w:hAnsi="楷体" w:eastAsia="楷体" w:cs="楷体"/>
                <w:sz w:val="24"/>
                <w:szCs w:val="24"/>
              </w:rPr>
              <w:t>序号</w:t>
            </w:r>
          </w:p>
        </w:tc>
        <w:tc>
          <w:tcPr>
            <w:tcW w:w="2365" w:type="pct"/>
            <w:tcBorders>
              <w:top w:val="single" w:color="auto" w:sz="4" w:space="0"/>
              <w:left w:val="single" w:color="auto" w:sz="4" w:space="0"/>
              <w:bottom w:val="single" w:color="auto" w:sz="4" w:space="0"/>
              <w:right w:val="single" w:color="auto" w:sz="4" w:space="0"/>
            </w:tcBorders>
            <w:shd w:val="clear" w:color="auto" w:fill="auto"/>
            <w:vAlign w:val="center"/>
          </w:tcPr>
          <w:p w14:paraId="7FF3EF22">
            <w:pPr>
              <w:rPr>
                <w:rFonts w:ascii="楷体" w:hAnsi="楷体" w:eastAsia="楷体" w:cs="楷体"/>
                <w:sz w:val="24"/>
                <w:szCs w:val="24"/>
              </w:rPr>
            </w:pPr>
            <w:r>
              <w:rPr>
                <w:rFonts w:hint="eastAsia" w:ascii="楷体" w:hAnsi="楷体" w:eastAsia="楷体" w:cs="楷体"/>
                <w:sz w:val="24"/>
                <w:szCs w:val="24"/>
              </w:rPr>
              <w:t>违章内容</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734A7281">
            <w:pPr>
              <w:rPr>
                <w:rFonts w:ascii="楷体" w:hAnsi="楷体" w:eastAsia="楷体" w:cs="楷体"/>
                <w:sz w:val="24"/>
                <w:szCs w:val="24"/>
              </w:rPr>
            </w:pPr>
            <w:r>
              <w:rPr>
                <w:rFonts w:hint="eastAsia" w:ascii="楷体" w:hAnsi="楷体" w:eastAsia="楷体" w:cs="楷体"/>
                <w:sz w:val="24"/>
                <w:szCs w:val="24"/>
              </w:rPr>
              <w:t>罚款金额</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07029ECC">
            <w:pPr>
              <w:rPr>
                <w:rFonts w:ascii="楷体" w:hAnsi="楷体" w:eastAsia="楷体" w:cs="楷体"/>
                <w:sz w:val="24"/>
                <w:szCs w:val="24"/>
              </w:rPr>
            </w:pPr>
            <w:r>
              <w:rPr>
                <w:rFonts w:hint="eastAsia" w:ascii="楷体" w:hAnsi="楷体" w:eastAsia="楷体" w:cs="楷体"/>
                <w:sz w:val="24"/>
                <w:szCs w:val="24"/>
              </w:rPr>
              <w:t>备注</w:t>
            </w:r>
          </w:p>
        </w:tc>
      </w:tr>
      <w:tr w14:paraId="0E42D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566" w:type="pct"/>
            <w:tcBorders>
              <w:top w:val="single" w:color="auto" w:sz="4" w:space="0"/>
              <w:left w:val="single" w:color="auto" w:sz="4" w:space="0"/>
              <w:bottom w:val="single" w:color="auto" w:sz="4" w:space="0"/>
              <w:right w:val="single" w:color="auto" w:sz="4" w:space="0"/>
            </w:tcBorders>
            <w:shd w:val="clear" w:color="auto" w:fill="auto"/>
            <w:vAlign w:val="center"/>
          </w:tcPr>
          <w:p w14:paraId="7C1C0B6E">
            <w:pPr>
              <w:rPr>
                <w:rFonts w:ascii="楷体" w:hAnsi="楷体" w:eastAsia="楷体" w:cs="楷体"/>
                <w:sz w:val="24"/>
                <w:szCs w:val="24"/>
              </w:rPr>
            </w:pPr>
            <w:r>
              <w:rPr>
                <w:rFonts w:hint="eastAsia" w:ascii="楷体" w:hAnsi="楷体" w:eastAsia="楷体" w:cs="楷体"/>
                <w:sz w:val="24"/>
                <w:szCs w:val="24"/>
              </w:rPr>
              <w:t>FC01</w:t>
            </w:r>
          </w:p>
        </w:tc>
        <w:tc>
          <w:tcPr>
            <w:tcW w:w="2365" w:type="pct"/>
            <w:tcBorders>
              <w:top w:val="single" w:color="auto" w:sz="4" w:space="0"/>
              <w:left w:val="single" w:color="auto" w:sz="4" w:space="0"/>
              <w:bottom w:val="single" w:color="auto" w:sz="4" w:space="0"/>
              <w:right w:val="single" w:color="auto" w:sz="4" w:space="0"/>
            </w:tcBorders>
            <w:shd w:val="clear" w:color="auto" w:fill="auto"/>
            <w:vAlign w:val="center"/>
          </w:tcPr>
          <w:p w14:paraId="0F0E449F">
            <w:pPr>
              <w:rPr>
                <w:rFonts w:ascii="楷体" w:hAnsi="楷体" w:eastAsia="楷体" w:cs="楷体"/>
                <w:sz w:val="24"/>
                <w:szCs w:val="24"/>
              </w:rPr>
            </w:pPr>
            <w:r>
              <w:rPr>
                <w:rFonts w:hint="eastAsia" w:ascii="楷体" w:hAnsi="楷体" w:eastAsia="楷体" w:cs="楷体"/>
                <w:sz w:val="24"/>
                <w:szCs w:val="24"/>
              </w:rPr>
              <w:t>执行动火人无特种操作证或无效</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543928A1">
            <w:pPr>
              <w:rPr>
                <w:rFonts w:ascii="楷体" w:hAnsi="楷体" w:eastAsia="楷体" w:cs="楷体"/>
                <w:sz w:val="24"/>
                <w:szCs w:val="24"/>
              </w:rPr>
            </w:pPr>
            <w:r>
              <w:rPr>
                <w:rFonts w:hint="eastAsia" w:ascii="楷体" w:hAnsi="楷体" w:eastAsia="楷体" w:cs="楷体"/>
                <w:sz w:val="24"/>
                <w:szCs w:val="24"/>
              </w:rPr>
              <w:t>每人每次1000元</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79A70567">
            <w:pPr>
              <w:rPr>
                <w:rFonts w:ascii="楷体" w:hAnsi="楷体" w:eastAsia="楷体" w:cs="楷体"/>
                <w:sz w:val="24"/>
                <w:szCs w:val="24"/>
              </w:rPr>
            </w:pPr>
          </w:p>
        </w:tc>
      </w:tr>
      <w:tr w14:paraId="603BE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66" w:type="pct"/>
            <w:tcBorders>
              <w:top w:val="single" w:color="auto" w:sz="4" w:space="0"/>
              <w:left w:val="single" w:color="auto" w:sz="4" w:space="0"/>
              <w:bottom w:val="single" w:color="auto" w:sz="4" w:space="0"/>
              <w:right w:val="single" w:color="auto" w:sz="4" w:space="0"/>
            </w:tcBorders>
            <w:shd w:val="clear" w:color="auto" w:fill="auto"/>
            <w:vAlign w:val="center"/>
          </w:tcPr>
          <w:p w14:paraId="37DC848F">
            <w:pPr>
              <w:rPr>
                <w:rFonts w:ascii="楷体" w:hAnsi="楷体" w:eastAsia="楷体" w:cs="楷体"/>
                <w:sz w:val="24"/>
                <w:szCs w:val="24"/>
              </w:rPr>
            </w:pPr>
            <w:r>
              <w:rPr>
                <w:rFonts w:hint="eastAsia" w:ascii="楷体" w:hAnsi="楷体" w:eastAsia="楷体" w:cs="楷体"/>
                <w:sz w:val="24"/>
                <w:szCs w:val="24"/>
              </w:rPr>
              <w:t>FC02</w:t>
            </w:r>
          </w:p>
        </w:tc>
        <w:tc>
          <w:tcPr>
            <w:tcW w:w="2365" w:type="pct"/>
            <w:tcBorders>
              <w:top w:val="single" w:color="auto" w:sz="4" w:space="0"/>
              <w:left w:val="single" w:color="auto" w:sz="4" w:space="0"/>
              <w:bottom w:val="single" w:color="auto" w:sz="4" w:space="0"/>
              <w:right w:val="single" w:color="auto" w:sz="4" w:space="0"/>
            </w:tcBorders>
            <w:shd w:val="clear" w:color="auto" w:fill="auto"/>
            <w:vAlign w:val="center"/>
          </w:tcPr>
          <w:p w14:paraId="7A1A9E38">
            <w:pPr>
              <w:rPr>
                <w:rFonts w:ascii="楷体" w:hAnsi="楷体" w:eastAsia="楷体" w:cs="楷体"/>
                <w:sz w:val="24"/>
                <w:szCs w:val="24"/>
              </w:rPr>
            </w:pPr>
            <w:r>
              <w:rPr>
                <w:rFonts w:hint="eastAsia" w:ascii="楷体" w:hAnsi="楷体" w:eastAsia="楷体" w:cs="楷体"/>
                <w:sz w:val="24"/>
                <w:szCs w:val="24"/>
              </w:rPr>
              <w:t>动火作业无施工许可单或未签批完整</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24AB2B63">
            <w:pPr>
              <w:rPr>
                <w:rFonts w:ascii="楷体" w:hAnsi="楷体" w:eastAsia="楷体" w:cs="楷体"/>
                <w:sz w:val="24"/>
                <w:szCs w:val="24"/>
              </w:rPr>
            </w:pPr>
            <w:r>
              <w:rPr>
                <w:rFonts w:hint="eastAsia" w:ascii="楷体" w:hAnsi="楷体" w:eastAsia="楷体" w:cs="楷体"/>
                <w:sz w:val="24"/>
                <w:szCs w:val="24"/>
              </w:rPr>
              <w:t>每处每次2000元</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54241855">
            <w:pPr>
              <w:rPr>
                <w:rFonts w:ascii="楷体" w:hAnsi="楷体" w:eastAsia="楷体" w:cs="楷体"/>
                <w:sz w:val="24"/>
                <w:szCs w:val="24"/>
              </w:rPr>
            </w:pPr>
            <w:r>
              <w:rPr>
                <w:rFonts w:hint="eastAsia" w:ascii="楷体" w:hAnsi="楷体" w:eastAsia="楷体" w:cs="楷体"/>
                <w:sz w:val="24"/>
                <w:szCs w:val="24"/>
              </w:rPr>
              <w:t>停止施工</w:t>
            </w:r>
          </w:p>
        </w:tc>
      </w:tr>
      <w:tr w14:paraId="792F7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566" w:type="pct"/>
            <w:tcBorders>
              <w:top w:val="single" w:color="auto" w:sz="4" w:space="0"/>
              <w:left w:val="single" w:color="auto" w:sz="4" w:space="0"/>
              <w:bottom w:val="single" w:color="auto" w:sz="4" w:space="0"/>
              <w:right w:val="single" w:color="auto" w:sz="4" w:space="0"/>
            </w:tcBorders>
            <w:shd w:val="clear" w:color="auto" w:fill="auto"/>
            <w:vAlign w:val="center"/>
          </w:tcPr>
          <w:p w14:paraId="6BEC86BC">
            <w:pPr>
              <w:rPr>
                <w:rFonts w:ascii="楷体" w:hAnsi="楷体" w:eastAsia="楷体" w:cs="楷体"/>
                <w:sz w:val="24"/>
                <w:szCs w:val="24"/>
              </w:rPr>
            </w:pPr>
            <w:r>
              <w:rPr>
                <w:rFonts w:hint="eastAsia" w:ascii="楷体" w:hAnsi="楷体" w:eastAsia="楷体" w:cs="楷体"/>
                <w:sz w:val="24"/>
                <w:szCs w:val="24"/>
              </w:rPr>
              <w:t>FC03</w:t>
            </w:r>
          </w:p>
        </w:tc>
        <w:tc>
          <w:tcPr>
            <w:tcW w:w="2365" w:type="pct"/>
            <w:tcBorders>
              <w:top w:val="single" w:color="auto" w:sz="4" w:space="0"/>
              <w:left w:val="single" w:color="auto" w:sz="4" w:space="0"/>
              <w:bottom w:val="single" w:color="auto" w:sz="4" w:space="0"/>
              <w:right w:val="single" w:color="auto" w:sz="4" w:space="0"/>
            </w:tcBorders>
            <w:shd w:val="clear" w:color="auto" w:fill="auto"/>
            <w:vAlign w:val="center"/>
          </w:tcPr>
          <w:p w14:paraId="3C4BB5D1">
            <w:pPr>
              <w:rPr>
                <w:rFonts w:ascii="楷体" w:hAnsi="楷体" w:eastAsia="楷体" w:cs="楷体"/>
                <w:sz w:val="24"/>
                <w:szCs w:val="24"/>
              </w:rPr>
            </w:pPr>
            <w:r>
              <w:rPr>
                <w:rFonts w:hint="eastAsia" w:ascii="楷体" w:hAnsi="楷体" w:eastAsia="楷体" w:cs="楷体"/>
                <w:sz w:val="24"/>
                <w:szCs w:val="24"/>
              </w:rPr>
              <w:t>动火作业现场存在易燃材料或安全距离不足</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08C7613B">
            <w:pPr>
              <w:rPr>
                <w:rFonts w:ascii="楷体" w:hAnsi="楷体" w:eastAsia="楷体" w:cs="楷体"/>
                <w:sz w:val="24"/>
                <w:szCs w:val="24"/>
              </w:rPr>
            </w:pPr>
            <w:r>
              <w:rPr>
                <w:rFonts w:hint="eastAsia" w:ascii="楷体" w:hAnsi="楷体" w:eastAsia="楷体" w:cs="楷体"/>
                <w:sz w:val="24"/>
                <w:szCs w:val="24"/>
              </w:rPr>
              <w:t>每处每次2000元</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608D9FCE">
            <w:pPr>
              <w:rPr>
                <w:rFonts w:ascii="楷体" w:hAnsi="楷体" w:eastAsia="楷体" w:cs="楷体"/>
                <w:sz w:val="24"/>
                <w:szCs w:val="24"/>
              </w:rPr>
            </w:pPr>
            <w:r>
              <w:rPr>
                <w:rFonts w:hint="eastAsia" w:ascii="楷体" w:hAnsi="楷体" w:eastAsia="楷体" w:cs="楷体"/>
                <w:sz w:val="24"/>
                <w:szCs w:val="24"/>
              </w:rPr>
              <w:t>停止施工</w:t>
            </w:r>
          </w:p>
        </w:tc>
      </w:tr>
      <w:tr w14:paraId="6ACC1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566" w:type="pct"/>
            <w:tcBorders>
              <w:top w:val="single" w:color="auto" w:sz="4" w:space="0"/>
              <w:left w:val="single" w:color="auto" w:sz="4" w:space="0"/>
              <w:bottom w:val="single" w:color="auto" w:sz="4" w:space="0"/>
              <w:right w:val="single" w:color="auto" w:sz="4" w:space="0"/>
            </w:tcBorders>
            <w:shd w:val="clear" w:color="auto" w:fill="auto"/>
            <w:vAlign w:val="center"/>
          </w:tcPr>
          <w:p w14:paraId="215BA6F4">
            <w:pPr>
              <w:rPr>
                <w:rFonts w:ascii="楷体" w:hAnsi="楷体" w:eastAsia="楷体" w:cs="楷体"/>
                <w:sz w:val="24"/>
                <w:szCs w:val="24"/>
              </w:rPr>
            </w:pPr>
            <w:r>
              <w:rPr>
                <w:rFonts w:hint="eastAsia" w:ascii="楷体" w:hAnsi="楷体" w:eastAsia="楷体" w:cs="楷体"/>
                <w:sz w:val="24"/>
                <w:szCs w:val="24"/>
              </w:rPr>
              <w:t>FC04</w:t>
            </w:r>
          </w:p>
        </w:tc>
        <w:tc>
          <w:tcPr>
            <w:tcW w:w="2365" w:type="pct"/>
            <w:tcBorders>
              <w:top w:val="single" w:color="auto" w:sz="4" w:space="0"/>
              <w:left w:val="single" w:color="auto" w:sz="4" w:space="0"/>
              <w:bottom w:val="single" w:color="auto" w:sz="4" w:space="0"/>
              <w:right w:val="single" w:color="auto" w:sz="4" w:space="0"/>
            </w:tcBorders>
            <w:shd w:val="clear" w:color="auto" w:fill="auto"/>
            <w:vAlign w:val="center"/>
          </w:tcPr>
          <w:p w14:paraId="6F623181">
            <w:pPr>
              <w:rPr>
                <w:rFonts w:ascii="楷体" w:hAnsi="楷体" w:eastAsia="楷体" w:cs="楷体"/>
                <w:sz w:val="24"/>
                <w:szCs w:val="24"/>
              </w:rPr>
            </w:pPr>
            <w:r>
              <w:rPr>
                <w:rFonts w:hint="eastAsia" w:ascii="楷体" w:hAnsi="楷体" w:eastAsia="楷体" w:cs="楷体"/>
                <w:sz w:val="24"/>
                <w:szCs w:val="24"/>
              </w:rPr>
              <w:t>动火现场未配置足够看火人或未佩戴标识</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30C216E5">
            <w:pPr>
              <w:rPr>
                <w:rFonts w:ascii="楷体" w:hAnsi="楷体" w:eastAsia="楷体" w:cs="楷体"/>
                <w:sz w:val="24"/>
                <w:szCs w:val="24"/>
              </w:rPr>
            </w:pPr>
            <w:r>
              <w:rPr>
                <w:rFonts w:hint="eastAsia" w:ascii="楷体" w:hAnsi="楷体" w:eastAsia="楷体" w:cs="楷体"/>
                <w:sz w:val="24"/>
                <w:szCs w:val="24"/>
              </w:rPr>
              <w:t>每处每次1000元</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1DF081A6">
            <w:pPr>
              <w:rPr>
                <w:rFonts w:ascii="楷体" w:hAnsi="楷体" w:eastAsia="楷体" w:cs="楷体"/>
                <w:sz w:val="24"/>
                <w:szCs w:val="24"/>
              </w:rPr>
            </w:pPr>
            <w:r>
              <w:rPr>
                <w:rFonts w:hint="eastAsia" w:ascii="楷体" w:hAnsi="楷体" w:eastAsia="楷体" w:cs="楷体"/>
                <w:sz w:val="24"/>
                <w:szCs w:val="24"/>
              </w:rPr>
              <w:t>暂停施工</w:t>
            </w:r>
          </w:p>
        </w:tc>
      </w:tr>
      <w:tr w14:paraId="7918D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566" w:type="pct"/>
            <w:tcBorders>
              <w:top w:val="single" w:color="auto" w:sz="4" w:space="0"/>
              <w:left w:val="single" w:color="auto" w:sz="4" w:space="0"/>
              <w:bottom w:val="single" w:color="auto" w:sz="4" w:space="0"/>
              <w:right w:val="single" w:color="auto" w:sz="4" w:space="0"/>
            </w:tcBorders>
            <w:shd w:val="clear" w:color="auto" w:fill="auto"/>
            <w:vAlign w:val="center"/>
          </w:tcPr>
          <w:p w14:paraId="3AA31FAE">
            <w:pPr>
              <w:rPr>
                <w:rFonts w:ascii="楷体" w:hAnsi="楷体" w:eastAsia="楷体" w:cs="楷体"/>
                <w:sz w:val="24"/>
                <w:szCs w:val="24"/>
              </w:rPr>
            </w:pPr>
            <w:r>
              <w:rPr>
                <w:rFonts w:hint="eastAsia" w:ascii="楷体" w:hAnsi="楷体" w:eastAsia="楷体" w:cs="楷体"/>
                <w:sz w:val="24"/>
                <w:szCs w:val="24"/>
              </w:rPr>
              <w:t>FC05</w:t>
            </w:r>
          </w:p>
        </w:tc>
        <w:tc>
          <w:tcPr>
            <w:tcW w:w="2365" w:type="pct"/>
            <w:tcBorders>
              <w:top w:val="single" w:color="auto" w:sz="4" w:space="0"/>
              <w:left w:val="single" w:color="auto" w:sz="4" w:space="0"/>
              <w:bottom w:val="single" w:color="auto" w:sz="4" w:space="0"/>
              <w:right w:val="single" w:color="auto" w:sz="4" w:space="0"/>
            </w:tcBorders>
            <w:shd w:val="clear" w:color="auto" w:fill="auto"/>
            <w:vAlign w:val="center"/>
          </w:tcPr>
          <w:p w14:paraId="473555E3">
            <w:pPr>
              <w:rPr>
                <w:rFonts w:ascii="楷体" w:hAnsi="楷体" w:eastAsia="楷体" w:cs="楷体"/>
                <w:sz w:val="24"/>
                <w:szCs w:val="24"/>
              </w:rPr>
            </w:pPr>
            <w:r>
              <w:rPr>
                <w:rFonts w:hint="eastAsia" w:ascii="楷体" w:hAnsi="楷体" w:eastAsia="楷体" w:cs="楷体"/>
                <w:sz w:val="24"/>
                <w:szCs w:val="24"/>
              </w:rPr>
              <w:t>动火现场未规定要求配置足够灭火装置或配置的灭火装备失效</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307B686F">
            <w:pPr>
              <w:rPr>
                <w:rFonts w:ascii="楷体" w:hAnsi="楷体" w:eastAsia="楷体" w:cs="楷体"/>
                <w:sz w:val="24"/>
                <w:szCs w:val="24"/>
              </w:rPr>
            </w:pPr>
            <w:r>
              <w:rPr>
                <w:rFonts w:hint="eastAsia" w:ascii="楷体" w:hAnsi="楷体" w:eastAsia="楷体" w:cs="楷体"/>
                <w:sz w:val="24"/>
                <w:szCs w:val="24"/>
              </w:rPr>
              <w:t>每处每次1000元</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3E5A4454">
            <w:pPr>
              <w:rPr>
                <w:rFonts w:ascii="楷体" w:hAnsi="楷体" w:eastAsia="楷体" w:cs="楷体"/>
                <w:sz w:val="24"/>
                <w:szCs w:val="24"/>
              </w:rPr>
            </w:pPr>
            <w:r>
              <w:rPr>
                <w:rFonts w:hint="eastAsia" w:ascii="楷体" w:hAnsi="楷体" w:eastAsia="楷体" w:cs="楷体"/>
                <w:sz w:val="24"/>
                <w:szCs w:val="24"/>
              </w:rPr>
              <w:t>停止施工</w:t>
            </w:r>
          </w:p>
        </w:tc>
      </w:tr>
      <w:tr w14:paraId="29556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566" w:type="pct"/>
            <w:tcBorders>
              <w:top w:val="single" w:color="auto" w:sz="4" w:space="0"/>
              <w:left w:val="single" w:color="auto" w:sz="4" w:space="0"/>
              <w:bottom w:val="single" w:color="auto" w:sz="4" w:space="0"/>
              <w:right w:val="single" w:color="auto" w:sz="4" w:space="0"/>
            </w:tcBorders>
            <w:shd w:val="clear" w:color="auto" w:fill="auto"/>
            <w:vAlign w:val="center"/>
          </w:tcPr>
          <w:p w14:paraId="0646D10F">
            <w:pPr>
              <w:rPr>
                <w:rFonts w:ascii="楷体" w:hAnsi="楷体" w:eastAsia="楷体" w:cs="楷体"/>
                <w:sz w:val="24"/>
                <w:szCs w:val="24"/>
              </w:rPr>
            </w:pPr>
            <w:r>
              <w:rPr>
                <w:rFonts w:hint="eastAsia" w:ascii="楷体" w:hAnsi="楷体" w:eastAsia="楷体" w:cs="楷体"/>
                <w:sz w:val="24"/>
                <w:szCs w:val="24"/>
              </w:rPr>
              <w:t>FC06</w:t>
            </w:r>
          </w:p>
        </w:tc>
        <w:tc>
          <w:tcPr>
            <w:tcW w:w="2365" w:type="pct"/>
            <w:tcBorders>
              <w:top w:val="single" w:color="auto" w:sz="4" w:space="0"/>
              <w:left w:val="single" w:color="auto" w:sz="4" w:space="0"/>
              <w:bottom w:val="single" w:color="auto" w:sz="4" w:space="0"/>
              <w:right w:val="single" w:color="auto" w:sz="4" w:space="0"/>
            </w:tcBorders>
            <w:shd w:val="clear" w:color="auto" w:fill="auto"/>
            <w:vAlign w:val="center"/>
          </w:tcPr>
          <w:p w14:paraId="62E19C9E">
            <w:pPr>
              <w:rPr>
                <w:rFonts w:ascii="楷体" w:hAnsi="楷体" w:eastAsia="楷体" w:cs="楷体"/>
                <w:sz w:val="24"/>
                <w:szCs w:val="24"/>
              </w:rPr>
            </w:pPr>
            <w:r>
              <w:rPr>
                <w:rFonts w:hint="eastAsia" w:ascii="楷体" w:hAnsi="楷体" w:eastAsia="楷体" w:cs="楷体"/>
                <w:sz w:val="24"/>
                <w:szCs w:val="24"/>
              </w:rPr>
              <w:t>动火作业完成后焊渣未清理，现场未整理</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0A13A19B">
            <w:pPr>
              <w:rPr>
                <w:rFonts w:ascii="楷体" w:hAnsi="楷体" w:eastAsia="楷体" w:cs="楷体"/>
                <w:sz w:val="24"/>
                <w:szCs w:val="24"/>
              </w:rPr>
            </w:pPr>
            <w:r>
              <w:rPr>
                <w:rFonts w:hint="eastAsia" w:ascii="楷体" w:hAnsi="楷体" w:eastAsia="楷体" w:cs="楷体"/>
                <w:sz w:val="24"/>
                <w:szCs w:val="24"/>
              </w:rPr>
              <w:t>每处每次1000元</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4B7F32AA">
            <w:pPr>
              <w:rPr>
                <w:rFonts w:ascii="楷体" w:hAnsi="楷体" w:eastAsia="楷体" w:cs="楷体"/>
                <w:sz w:val="24"/>
                <w:szCs w:val="24"/>
              </w:rPr>
            </w:pPr>
          </w:p>
        </w:tc>
      </w:tr>
      <w:tr w14:paraId="56FDA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566" w:type="pct"/>
            <w:tcBorders>
              <w:top w:val="single" w:color="auto" w:sz="4" w:space="0"/>
              <w:left w:val="single" w:color="auto" w:sz="4" w:space="0"/>
              <w:bottom w:val="single" w:color="auto" w:sz="4" w:space="0"/>
              <w:right w:val="single" w:color="auto" w:sz="4" w:space="0"/>
            </w:tcBorders>
            <w:shd w:val="clear" w:color="auto" w:fill="auto"/>
            <w:vAlign w:val="center"/>
          </w:tcPr>
          <w:p w14:paraId="43E941BA">
            <w:pPr>
              <w:rPr>
                <w:rFonts w:ascii="楷体" w:hAnsi="楷体" w:eastAsia="楷体" w:cs="楷体"/>
                <w:sz w:val="24"/>
                <w:szCs w:val="24"/>
              </w:rPr>
            </w:pPr>
            <w:r>
              <w:rPr>
                <w:rFonts w:hint="eastAsia" w:ascii="楷体" w:hAnsi="楷体" w:eastAsia="楷体" w:cs="楷体"/>
                <w:sz w:val="24"/>
                <w:szCs w:val="24"/>
              </w:rPr>
              <w:t>FC07</w:t>
            </w:r>
          </w:p>
        </w:tc>
        <w:tc>
          <w:tcPr>
            <w:tcW w:w="2365" w:type="pct"/>
            <w:tcBorders>
              <w:top w:val="single" w:color="auto" w:sz="4" w:space="0"/>
              <w:left w:val="single" w:color="auto" w:sz="4" w:space="0"/>
              <w:bottom w:val="single" w:color="auto" w:sz="4" w:space="0"/>
              <w:right w:val="single" w:color="auto" w:sz="4" w:space="0"/>
            </w:tcBorders>
            <w:shd w:val="clear" w:color="auto" w:fill="auto"/>
            <w:vAlign w:val="center"/>
          </w:tcPr>
          <w:p w14:paraId="20C85CB2">
            <w:pPr>
              <w:rPr>
                <w:rFonts w:ascii="楷体" w:hAnsi="楷体" w:eastAsia="楷体" w:cs="楷体"/>
                <w:sz w:val="24"/>
                <w:szCs w:val="24"/>
              </w:rPr>
            </w:pPr>
            <w:r>
              <w:rPr>
                <w:rFonts w:hint="eastAsia" w:ascii="楷体" w:hAnsi="楷体" w:eastAsia="楷体" w:cs="楷体"/>
                <w:sz w:val="24"/>
                <w:szCs w:val="24"/>
              </w:rPr>
              <w:t>私自伪造、涂改、代签或变更动火证</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5E3B648C">
            <w:pPr>
              <w:rPr>
                <w:rFonts w:ascii="楷体" w:hAnsi="楷体" w:eastAsia="楷体" w:cs="楷体"/>
                <w:sz w:val="24"/>
                <w:szCs w:val="24"/>
              </w:rPr>
            </w:pPr>
            <w:r>
              <w:rPr>
                <w:rFonts w:hint="eastAsia" w:ascii="楷体" w:hAnsi="楷体" w:eastAsia="楷体" w:cs="楷体"/>
                <w:sz w:val="24"/>
                <w:szCs w:val="24"/>
              </w:rPr>
              <w:t>每处每次2000元</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20249A83">
            <w:pPr>
              <w:rPr>
                <w:rFonts w:ascii="楷体" w:hAnsi="楷体" w:eastAsia="楷体" w:cs="楷体"/>
                <w:sz w:val="24"/>
                <w:szCs w:val="24"/>
              </w:rPr>
            </w:pPr>
          </w:p>
        </w:tc>
      </w:tr>
      <w:tr w14:paraId="0D52A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566" w:type="pct"/>
            <w:tcBorders>
              <w:top w:val="single" w:color="auto" w:sz="4" w:space="0"/>
              <w:left w:val="single" w:color="auto" w:sz="4" w:space="0"/>
              <w:bottom w:val="single" w:color="auto" w:sz="4" w:space="0"/>
              <w:right w:val="single" w:color="auto" w:sz="4" w:space="0"/>
            </w:tcBorders>
            <w:shd w:val="clear" w:color="auto" w:fill="auto"/>
            <w:vAlign w:val="center"/>
          </w:tcPr>
          <w:p w14:paraId="67E21F97">
            <w:pPr>
              <w:rPr>
                <w:rFonts w:ascii="楷体" w:hAnsi="楷体" w:eastAsia="楷体" w:cs="楷体"/>
                <w:sz w:val="24"/>
                <w:szCs w:val="24"/>
              </w:rPr>
            </w:pPr>
            <w:r>
              <w:rPr>
                <w:rFonts w:hint="eastAsia" w:ascii="楷体" w:hAnsi="楷体" w:eastAsia="楷体" w:cs="楷体"/>
                <w:sz w:val="24"/>
                <w:szCs w:val="24"/>
              </w:rPr>
              <w:t>FC08</w:t>
            </w:r>
          </w:p>
        </w:tc>
        <w:tc>
          <w:tcPr>
            <w:tcW w:w="2365" w:type="pct"/>
            <w:tcBorders>
              <w:top w:val="single" w:color="auto" w:sz="4" w:space="0"/>
              <w:left w:val="single" w:color="auto" w:sz="4" w:space="0"/>
              <w:bottom w:val="single" w:color="auto" w:sz="4" w:space="0"/>
              <w:right w:val="single" w:color="auto" w:sz="4" w:space="0"/>
            </w:tcBorders>
            <w:shd w:val="clear" w:color="auto" w:fill="auto"/>
            <w:vAlign w:val="center"/>
          </w:tcPr>
          <w:p w14:paraId="401B2201">
            <w:pPr>
              <w:rPr>
                <w:rFonts w:ascii="楷体" w:hAnsi="楷体" w:eastAsia="楷体" w:cs="楷体"/>
                <w:sz w:val="24"/>
                <w:szCs w:val="24"/>
              </w:rPr>
            </w:pPr>
            <w:r>
              <w:rPr>
                <w:rFonts w:hint="eastAsia" w:ascii="楷体" w:hAnsi="楷体" w:eastAsia="楷体" w:cs="楷体"/>
                <w:sz w:val="24"/>
                <w:szCs w:val="24"/>
              </w:rPr>
              <w:t>氧气乙炔瓶距离未达规范要求</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7DA3CDE7">
            <w:pPr>
              <w:rPr>
                <w:rFonts w:ascii="楷体" w:hAnsi="楷体" w:eastAsia="楷体" w:cs="楷体"/>
                <w:sz w:val="24"/>
                <w:szCs w:val="24"/>
              </w:rPr>
            </w:pPr>
            <w:r>
              <w:rPr>
                <w:rFonts w:hint="eastAsia" w:ascii="楷体" w:hAnsi="楷体" w:eastAsia="楷体" w:cs="楷体"/>
                <w:sz w:val="24"/>
                <w:szCs w:val="24"/>
              </w:rPr>
              <w:t>每处每次500元</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5EF9C543">
            <w:pPr>
              <w:rPr>
                <w:rFonts w:ascii="楷体" w:hAnsi="楷体" w:eastAsia="楷体" w:cs="楷体"/>
                <w:sz w:val="24"/>
                <w:szCs w:val="24"/>
              </w:rPr>
            </w:pPr>
            <w:r>
              <w:rPr>
                <w:rFonts w:hint="eastAsia" w:ascii="楷体" w:hAnsi="楷体" w:eastAsia="楷体" w:cs="楷体"/>
                <w:sz w:val="24"/>
                <w:szCs w:val="24"/>
              </w:rPr>
              <w:t>立即整改</w:t>
            </w:r>
          </w:p>
        </w:tc>
      </w:tr>
      <w:tr w14:paraId="06F69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566" w:type="pct"/>
            <w:tcBorders>
              <w:top w:val="single" w:color="auto" w:sz="4" w:space="0"/>
              <w:left w:val="single" w:color="auto" w:sz="4" w:space="0"/>
              <w:bottom w:val="single" w:color="auto" w:sz="4" w:space="0"/>
              <w:right w:val="single" w:color="auto" w:sz="4" w:space="0"/>
            </w:tcBorders>
            <w:shd w:val="clear" w:color="auto" w:fill="auto"/>
            <w:vAlign w:val="center"/>
          </w:tcPr>
          <w:p w14:paraId="13169C85">
            <w:pPr>
              <w:rPr>
                <w:rFonts w:ascii="楷体" w:hAnsi="楷体" w:eastAsia="楷体" w:cs="楷体"/>
                <w:sz w:val="24"/>
                <w:szCs w:val="24"/>
              </w:rPr>
            </w:pPr>
            <w:r>
              <w:rPr>
                <w:rFonts w:hint="eastAsia" w:ascii="楷体" w:hAnsi="楷体" w:eastAsia="楷体" w:cs="楷体"/>
                <w:sz w:val="24"/>
                <w:szCs w:val="24"/>
              </w:rPr>
              <w:t>FC09</w:t>
            </w:r>
          </w:p>
        </w:tc>
        <w:tc>
          <w:tcPr>
            <w:tcW w:w="2365" w:type="pct"/>
            <w:tcBorders>
              <w:top w:val="single" w:color="auto" w:sz="4" w:space="0"/>
              <w:left w:val="single" w:color="auto" w:sz="4" w:space="0"/>
              <w:bottom w:val="single" w:color="auto" w:sz="4" w:space="0"/>
              <w:right w:val="single" w:color="auto" w:sz="4" w:space="0"/>
            </w:tcBorders>
            <w:shd w:val="clear" w:color="auto" w:fill="auto"/>
            <w:vAlign w:val="center"/>
          </w:tcPr>
          <w:p w14:paraId="305479B3">
            <w:pPr>
              <w:rPr>
                <w:rFonts w:ascii="楷体" w:hAnsi="楷体" w:eastAsia="楷体" w:cs="楷体"/>
                <w:sz w:val="24"/>
                <w:szCs w:val="24"/>
              </w:rPr>
            </w:pPr>
            <w:r>
              <w:rPr>
                <w:rFonts w:hint="eastAsia" w:ascii="楷体" w:hAnsi="楷体" w:eastAsia="楷体" w:cs="楷体"/>
                <w:sz w:val="24"/>
                <w:szCs w:val="24"/>
              </w:rPr>
              <w:t>作业申请单上未自动检查或与现场不符</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1D25734B">
            <w:pPr>
              <w:rPr>
                <w:rFonts w:ascii="楷体" w:hAnsi="楷体" w:eastAsia="楷体" w:cs="楷体"/>
                <w:sz w:val="24"/>
                <w:szCs w:val="24"/>
              </w:rPr>
            </w:pPr>
            <w:r>
              <w:rPr>
                <w:rFonts w:hint="eastAsia" w:ascii="楷体" w:hAnsi="楷体" w:eastAsia="楷体" w:cs="楷体"/>
                <w:sz w:val="24"/>
                <w:szCs w:val="24"/>
              </w:rPr>
              <w:t>每处每次500元</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03599324">
            <w:pPr>
              <w:rPr>
                <w:rFonts w:ascii="楷体" w:hAnsi="楷体" w:eastAsia="楷体" w:cs="楷体"/>
                <w:sz w:val="24"/>
                <w:szCs w:val="24"/>
              </w:rPr>
            </w:pPr>
          </w:p>
        </w:tc>
      </w:tr>
      <w:tr w14:paraId="4C4C0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566" w:type="pct"/>
            <w:tcBorders>
              <w:top w:val="single" w:color="auto" w:sz="4" w:space="0"/>
              <w:left w:val="single" w:color="auto" w:sz="4" w:space="0"/>
              <w:bottom w:val="single" w:color="auto" w:sz="4" w:space="0"/>
              <w:right w:val="single" w:color="auto" w:sz="4" w:space="0"/>
            </w:tcBorders>
            <w:shd w:val="clear" w:color="auto" w:fill="auto"/>
            <w:vAlign w:val="center"/>
          </w:tcPr>
          <w:p w14:paraId="6AAC1695">
            <w:pPr>
              <w:rPr>
                <w:rFonts w:ascii="楷体" w:hAnsi="楷体" w:eastAsia="楷体" w:cs="楷体"/>
                <w:sz w:val="24"/>
                <w:szCs w:val="24"/>
              </w:rPr>
            </w:pPr>
            <w:r>
              <w:rPr>
                <w:rFonts w:hint="eastAsia" w:ascii="楷体" w:hAnsi="楷体" w:eastAsia="楷体" w:cs="楷体"/>
                <w:sz w:val="24"/>
                <w:szCs w:val="24"/>
              </w:rPr>
              <w:t>FC10</w:t>
            </w:r>
          </w:p>
        </w:tc>
        <w:tc>
          <w:tcPr>
            <w:tcW w:w="2365" w:type="pct"/>
            <w:tcBorders>
              <w:top w:val="single" w:color="auto" w:sz="4" w:space="0"/>
              <w:left w:val="single" w:color="auto" w:sz="4" w:space="0"/>
              <w:bottom w:val="single" w:color="auto" w:sz="4" w:space="0"/>
              <w:right w:val="single" w:color="auto" w:sz="4" w:space="0"/>
            </w:tcBorders>
            <w:shd w:val="clear" w:color="auto" w:fill="auto"/>
            <w:vAlign w:val="center"/>
          </w:tcPr>
          <w:p w14:paraId="18406AC3">
            <w:pPr>
              <w:rPr>
                <w:rFonts w:ascii="楷体" w:hAnsi="楷体" w:eastAsia="楷体" w:cs="楷体"/>
                <w:sz w:val="24"/>
                <w:szCs w:val="24"/>
              </w:rPr>
            </w:pPr>
            <w:r>
              <w:rPr>
                <w:rFonts w:hint="eastAsia" w:ascii="楷体" w:hAnsi="楷体" w:eastAsia="楷体" w:cs="楷体"/>
                <w:sz w:val="24"/>
                <w:szCs w:val="24"/>
              </w:rPr>
              <w:t>因施工造成火险、火灾</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71B286DD">
            <w:pPr>
              <w:rPr>
                <w:rFonts w:ascii="楷体" w:hAnsi="楷体" w:eastAsia="楷体" w:cs="楷体"/>
                <w:sz w:val="24"/>
                <w:szCs w:val="24"/>
              </w:rPr>
            </w:pPr>
            <w:r>
              <w:rPr>
                <w:rFonts w:hint="eastAsia" w:ascii="楷体" w:hAnsi="楷体" w:eastAsia="楷体" w:cs="楷体"/>
                <w:sz w:val="24"/>
                <w:szCs w:val="24"/>
              </w:rPr>
              <w:t>每处每次2000-200000元</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4BCD6284">
            <w:pPr>
              <w:rPr>
                <w:rFonts w:ascii="楷体" w:hAnsi="楷体" w:eastAsia="楷体" w:cs="楷体"/>
                <w:sz w:val="24"/>
                <w:szCs w:val="24"/>
              </w:rPr>
            </w:pPr>
          </w:p>
        </w:tc>
      </w:tr>
      <w:tr w14:paraId="37789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566" w:type="pct"/>
            <w:tcBorders>
              <w:top w:val="single" w:color="auto" w:sz="4" w:space="0"/>
              <w:left w:val="single" w:color="auto" w:sz="4" w:space="0"/>
              <w:bottom w:val="single" w:color="auto" w:sz="4" w:space="0"/>
              <w:right w:val="single" w:color="auto" w:sz="4" w:space="0"/>
            </w:tcBorders>
            <w:shd w:val="clear" w:color="auto" w:fill="auto"/>
            <w:vAlign w:val="center"/>
          </w:tcPr>
          <w:p w14:paraId="776F6C2B">
            <w:pPr>
              <w:rPr>
                <w:rFonts w:ascii="楷体" w:hAnsi="楷体" w:eastAsia="楷体" w:cs="楷体"/>
                <w:sz w:val="24"/>
                <w:szCs w:val="24"/>
              </w:rPr>
            </w:pPr>
            <w:r>
              <w:rPr>
                <w:rFonts w:hint="eastAsia" w:ascii="楷体" w:hAnsi="楷体" w:eastAsia="楷体" w:cs="楷体"/>
                <w:sz w:val="24"/>
                <w:szCs w:val="24"/>
              </w:rPr>
              <w:t>FC11</w:t>
            </w:r>
          </w:p>
        </w:tc>
        <w:tc>
          <w:tcPr>
            <w:tcW w:w="2365" w:type="pct"/>
            <w:tcBorders>
              <w:top w:val="single" w:color="auto" w:sz="4" w:space="0"/>
              <w:left w:val="single" w:color="auto" w:sz="4" w:space="0"/>
              <w:bottom w:val="single" w:color="auto" w:sz="4" w:space="0"/>
              <w:right w:val="single" w:color="auto" w:sz="4" w:space="0"/>
            </w:tcBorders>
            <w:shd w:val="clear" w:color="auto" w:fill="auto"/>
            <w:vAlign w:val="center"/>
          </w:tcPr>
          <w:p w14:paraId="4D558CAB">
            <w:pPr>
              <w:rPr>
                <w:rFonts w:ascii="楷体" w:hAnsi="楷体" w:eastAsia="楷体" w:cs="楷体"/>
                <w:sz w:val="24"/>
                <w:szCs w:val="24"/>
              </w:rPr>
            </w:pPr>
            <w:r>
              <w:rPr>
                <w:rFonts w:hint="eastAsia" w:ascii="楷体" w:hAnsi="楷体" w:eastAsia="楷体" w:cs="楷体"/>
                <w:sz w:val="24"/>
                <w:szCs w:val="24"/>
              </w:rPr>
              <w:t>易燃气瓶、材料等未按规定妥善保存</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69529B11">
            <w:pPr>
              <w:rPr>
                <w:rFonts w:ascii="楷体" w:hAnsi="楷体" w:eastAsia="楷体" w:cs="楷体"/>
                <w:sz w:val="24"/>
                <w:szCs w:val="24"/>
              </w:rPr>
            </w:pPr>
            <w:r>
              <w:rPr>
                <w:rFonts w:hint="eastAsia" w:ascii="楷体" w:hAnsi="楷体" w:eastAsia="楷体" w:cs="楷体"/>
                <w:sz w:val="24"/>
                <w:szCs w:val="24"/>
              </w:rPr>
              <w:t>每处每次2000元</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7B9F2449">
            <w:pPr>
              <w:rPr>
                <w:rFonts w:ascii="楷体" w:hAnsi="楷体" w:eastAsia="楷体" w:cs="楷体"/>
                <w:sz w:val="24"/>
                <w:szCs w:val="24"/>
              </w:rPr>
            </w:pPr>
          </w:p>
        </w:tc>
      </w:tr>
      <w:tr w14:paraId="36EDA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566" w:type="pct"/>
            <w:tcBorders>
              <w:top w:val="single" w:color="auto" w:sz="4" w:space="0"/>
              <w:left w:val="single" w:color="auto" w:sz="4" w:space="0"/>
              <w:bottom w:val="single" w:color="auto" w:sz="4" w:space="0"/>
              <w:right w:val="single" w:color="auto" w:sz="4" w:space="0"/>
            </w:tcBorders>
            <w:shd w:val="clear" w:color="auto" w:fill="auto"/>
            <w:vAlign w:val="center"/>
          </w:tcPr>
          <w:p w14:paraId="7B7E7E3F">
            <w:pPr>
              <w:rPr>
                <w:rFonts w:ascii="楷体" w:hAnsi="楷体" w:eastAsia="楷体" w:cs="楷体"/>
                <w:sz w:val="24"/>
                <w:szCs w:val="24"/>
              </w:rPr>
            </w:pPr>
            <w:r>
              <w:rPr>
                <w:rFonts w:hint="eastAsia" w:ascii="楷体" w:hAnsi="楷体" w:eastAsia="楷体" w:cs="楷体"/>
                <w:sz w:val="24"/>
                <w:szCs w:val="24"/>
              </w:rPr>
              <w:t>FC12</w:t>
            </w:r>
          </w:p>
        </w:tc>
        <w:tc>
          <w:tcPr>
            <w:tcW w:w="2365" w:type="pct"/>
            <w:tcBorders>
              <w:top w:val="single" w:color="auto" w:sz="4" w:space="0"/>
              <w:left w:val="single" w:color="auto" w:sz="4" w:space="0"/>
              <w:bottom w:val="single" w:color="auto" w:sz="4" w:space="0"/>
              <w:right w:val="single" w:color="auto" w:sz="4" w:space="0"/>
            </w:tcBorders>
            <w:shd w:val="clear" w:color="auto" w:fill="auto"/>
            <w:vAlign w:val="center"/>
          </w:tcPr>
          <w:p w14:paraId="4E3ACAB6">
            <w:pPr>
              <w:rPr>
                <w:rFonts w:ascii="楷体" w:hAnsi="楷体" w:eastAsia="楷体" w:cs="楷体"/>
                <w:sz w:val="24"/>
                <w:szCs w:val="24"/>
              </w:rPr>
            </w:pPr>
            <w:r>
              <w:rPr>
                <w:rFonts w:hint="eastAsia" w:ascii="楷体" w:hAnsi="楷体" w:eastAsia="楷体" w:cs="楷体"/>
                <w:sz w:val="24"/>
                <w:szCs w:val="24"/>
              </w:rPr>
              <w:t>未按规定在易燃材料等规定区域配置灭火器</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6E4D34FD">
            <w:pPr>
              <w:rPr>
                <w:rFonts w:ascii="楷体" w:hAnsi="楷体" w:eastAsia="楷体" w:cs="楷体"/>
                <w:sz w:val="24"/>
                <w:szCs w:val="24"/>
              </w:rPr>
            </w:pPr>
            <w:r>
              <w:rPr>
                <w:rFonts w:hint="eastAsia" w:ascii="楷体" w:hAnsi="楷体" w:eastAsia="楷体" w:cs="楷体"/>
                <w:sz w:val="24"/>
                <w:szCs w:val="24"/>
              </w:rPr>
              <w:t>每处每次1000元</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48406255">
            <w:pPr>
              <w:rPr>
                <w:rFonts w:ascii="楷体" w:hAnsi="楷体" w:eastAsia="楷体" w:cs="楷体"/>
                <w:sz w:val="24"/>
                <w:szCs w:val="24"/>
              </w:rPr>
            </w:pPr>
          </w:p>
        </w:tc>
      </w:tr>
      <w:tr w14:paraId="22347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566" w:type="pct"/>
            <w:tcBorders>
              <w:top w:val="single" w:color="auto" w:sz="4" w:space="0"/>
              <w:left w:val="single" w:color="auto" w:sz="4" w:space="0"/>
              <w:bottom w:val="single" w:color="auto" w:sz="4" w:space="0"/>
              <w:right w:val="single" w:color="auto" w:sz="4" w:space="0"/>
            </w:tcBorders>
            <w:shd w:val="clear" w:color="auto" w:fill="auto"/>
            <w:vAlign w:val="center"/>
          </w:tcPr>
          <w:p w14:paraId="790078AA">
            <w:pPr>
              <w:rPr>
                <w:rFonts w:ascii="楷体" w:hAnsi="楷体" w:eastAsia="楷体" w:cs="楷体"/>
                <w:sz w:val="24"/>
                <w:szCs w:val="24"/>
              </w:rPr>
            </w:pPr>
            <w:r>
              <w:rPr>
                <w:rFonts w:hint="eastAsia" w:ascii="楷体" w:hAnsi="楷体" w:eastAsia="楷体" w:cs="楷体"/>
                <w:sz w:val="24"/>
                <w:szCs w:val="24"/>
              </w:rPr>
              <w:t>FC13</w:t>
            </w:r>
          </w:p>
        </w:tc>
        <w:tc>
          <w:tcPr>
            <w:tcW w:w="2365" w:type="pct"/>
            <w:tcBorders>
              <w:top w:val="single" w:color="auto" w:sz="4" w:space="0"/>
              <w:left w:val="single" w:color="auto" w:sz="4" w:space="0"/>
              <w:bottom w:val="single" w:color="auto" w:sz="4" w:space="0"/>
              <w:right w:val="single" w:color="auto" w:sz="4" w:space="0"/>
            </w:tcBorders>
            <w:shd w:val="clear" w:color="auto" w:fill="auto"/>
            <w:vAlign w:val="center"/>
          </w:tcPr>
          <w:p w14:paraId="17FEB423">
            <w:pPr>
              <w:rPr>
                <w:rFonts w:ascii="楷体" w:hAnsi="楷体" w:eastAsia="楷体" w:cs="楷体"/>
                <w:sz w:val="24"/>
                <w:szCs w:val="24"/>
              </w:rPr>
            </w:pPr>
            <w:r>
              <w:rPr>
                <w:rFonts w:hint="eastAsia" w:ascii="楷体" w:hAnsi="楷体" w:eastAsia="楷体" w:cs="楷体"/>
                <w:sz w:val="24"/>
                <w:szCs w:val="24"/>
              </w:rPr>
              <w:t>其他不符合有关标准和项目管理规定的</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7DD1C51C">
            <w:pPr>
              <w:rPr>
                <w:rFonts w:ascii="楷体" w:hAnsi="楷体" w:eastAsia="楷体" w:cs="楷体"/>
                <w:sz w:val="24"/>
                <w:szCs w:val="24"/>
              </w:rPr>
            </w:pPr>
            <w:r>
              <w:rPr>
                <w:rFonts w:hint="eastAsia" w:ascii="楷体" w:hAnsi="楷体" w:eastAsia="楷体" w:cs="楷体"/>
                <w:sz w:val="24"/>
                <w:szCs w:val="24"/>
              </w:rPr>
              <w:t>每处每次500-50000元</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13BCA06C">
            <w:pPr>
              <w:rPr>
                <w:rFonts w:ascii="楷体" w:hAnsi="楷体" w:eastAsia="楷体" w:cs="楷体"/>
                <w:sz w:val="24"/>
                <w:szCs w:val="24"/>
              </w:rPr>
            </w:pPr>
          </w:p>
        </w:tc>
      </w:tr>
    </w:tbl>
    <w:p w14:paraId="062EDCA9">
      <w:pPr>
        <w:pStyle w:val="2"/>
        <w:ind w:firstLine="480"/>
        <w:rPr>
          <w:rFonts w:ascii="楷体" w:hAnsi="楷体" w:eastAsia="楷体" w:cs="楷体"/>
          <w:bCs/>
          <w:sz w:val="24"/>
          <w:szCs w:val="24"/>
        </w:rPr>
      </w:pPr>
      <w:r>
        <w:rPr>
          <w:rFonts w:hint="eastAsia" w:ascii="楷体" w:hAnsi="楷体" w:eastAsia="楷体" w:cs="楷体"/>
          <w:bCs/>
          <w:sz w:val="24"/>
          <w:szCs w:val="24"/>
          <w:lang w:bidi="ar"/>
        </w:rPr>
        <w:t>4.7.4 电气设备管理</w:t>
      </w:r>
    </w:p>
    <w:tbl>
      <w:tblPr>
        <w:tblStyle w:val="1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2"/>
        <w:gridCol w:w="4315"/>
        <w:gridCol w:w="2277"/>
        <w:gridCol w:w="1499"/>
      </w:tblGrid>
      <w:tr w14:paraId="2F205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1" w:hRule="atLeast"/>
          <w:tblHeader/>
        </w:trPr>
        <w:tc>
          <w:tcPr>
            <w:tcW w:w="561" w:type="pct"/>
            <w:tcBorders>
              <w:top w:val="single" w:color="auto" w:sz="4" w:space="0"/>
              <w:left w:val="single" w:color="auto" w:sz="4" w:space="0"/>
              <w:bottom w:val="single" w:color="auto" w:sz="4" w:space="0"/>
              <w:right w:val="single" w:color="auto" w:sz="4" w:space="0"/>
            </w:tcBorders>
            <w:shd w:val="clear" w:color="auto" w:fill="auto"/>
            <w:vAlign w:val="center"/>
          </w:tcPr>
          <w:p w14:paraId="329C69EF">
            <w:pPr>
              <w:jc w:val="both"/>
              <w:rPr>
                <w:rFonts w:ascii="楷体" w:hAnsi="楷体" w:eastAsia="楷体" w:cs="楷体"/>
                <w:sz w:val="24"/>
                <w:szCs w:val="24"/>
              </w:rPr>
            </w:pPr>
            <w:r>
              <w:rPr>
                <w:rFonts w:hint="eastAsia" w:ascii="楷体" w:hAnsi="楷体" w:eastAsia="楷体" w:cs="楷体"/>
                <w:sz w:val="24"/>
                <w:szCs w:val="24"/>
              </w:rPr>
              <w:t>序号</w:t>
            </w:r>
          </w:p>
        </w:tc>
        <w:tc>
          <w:tcPr>
            <w:tcW w:w="2367" w:type="pct"/>
            <w:tcBorders>
              <w:top w:val="single" w:color="auto" w:sz="4" w:space="0"/>
              <w:left w:val="single" w:color="auto" w:sz="4" w:space="0"/>
              <w:bottom w:val="single" w:color="auto" w:sz="4" w:space="0"/>
              <w:right w:val="single" w:color="auto" w:sz="4" w:space="0"/>
            </w:tcBorders>
            <w:shd w:val="clear" w:color="auto" w:fill="auto"/>
            <w:vAlign w:val="center"/>
          </w:tcPr>
          <w:p w14:paraId="2A225DAB">
            <w:pPr>
              <w:jc w:val="both"/>
              <w:rPr>
                <w:rFonts w:ascii="楷体" w:hAnsi="楷体" w:eastAsia="楷体" w:cs="楷体"/>
                <w:sz w:val="24"/>
                <w:szCs w:val="24"/>
              </w:rPr>
            </w:pPr>
            <w:r>
              <w:rPr>
                <w:rFonts w:hint="eastAsia" w:ascii="楷体" w:hAnsi="楷体" w:eastAsia="楷体" w:cs="楷体"/>
                <w:sz w:val="24"/>
                <w:szCs w:val="24"/>
              </w:rPr>
              <w:t>违章内容</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1D740871">
            <w:pPr>
              <w:jc w:val="both"/>
              <w:rPr>
                <w:rFonts w:ascii="楷体" w:hAnsi="楷体" w:eastAsia="楷体" w:cs="楷体"/>
                <w:sz w:val="24"/>
                <w:szCs w:val="24"/>
              </w:rPr>
            </w:pPr>
            <w:r>
              <w:rPr>
                <w:rFonts w:hint="eastAsia" w:ascii="楷体" w:hAnsi="楷体" w:eastAsia="楷体" w:cs="楷体"/>
                <w:sz w:val="24"/>
                <w:szCs w:val="24"/>
              </w:rPr>
              <w:t>罚款金额</w:t>
            </w:r>
          </w:p>
        </w:tc>
        <w:tc>
          <w:tcPr>
            <w:tcW w:w="822" w:type="pct"/>
            <w:tcBorders>
              <w:top w:val="single" w:color="auto" w:sz="4" w:space="0"/>
              <w:left w:val="single" w:color="auto" w:sz="4" w:space="0"/>
              <w:bottom w:val="single" w:color="auto" w:sz="4" w:space="0"/>
              <w:right w:val="single" w:color="auto" w:sz="4" w:space="0"/>
            </w:tcBorders>
            <w:shd w:val="clear" w:color="auto" w:fill="auto"/>
            <w:vAlign w:val="center"/>
          </w:tcPr>
          <w:p w14:paraId="174DB509">
            <w:pPr>
              <w:jc w:val="both"/>
              <w:rPr>
                <w:rFonts w:ascii="楷体" w:hAnsi="楷体" w:eastAsia="楷体" w:cs="楷体"/>
                <w:sz w:val="24"/>
                <w:szCs w:val="24"/>
              </w:rPr>
            </w:pPr>
            <w:r>
              <w:rPr>
                <w:rFonts w:hint="eastAsia" w:ascii="楷体" w:hAnsi="楷体" w:eastAsia="楷体" w:cs="楷体"/>
                <w:sz w:val="24"/>
                <w:szCs w:val="24"/>
              </w:rPr>
              <w:t>备注</w:t>
            </w:r>
          </w:p>
        </w:tc>
      </w:tr>
      <w:tr w14:paraId="77A49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561" w:type="pct"/>
            <w:tcBorders>
              <w:top w:val="single" w:color="auto" w:sz="4" w:space="0"/>
              <w:left w:val="single" w:color="auto" w:sz="4" w:space="0"/>
              <w:bottom w:val="single" w:color="auto" w:sz="4" w:space="0"/>
              <w:right w:val="single" w:color="auto" w:sz="4" w:space="0"/>
            </w:tcBorders>
            <w:shd w:val="clear" w:color="auto" w:fill="auto"/>
            <w:vAlign w:val="center"/>
          </w:tcPr>
          <w:p w14:paraId="3F3779AE">
            <w:pPr>
              <w:jc w:val="both"/>
              <w:rPr>
                <w:rFonts w:ascii="楷体" w:hAnsi="楷体" w:eastAsia="楷体" w:cs="楷体"/>
                <w:sz w:val="24"/>
                <w:szCs w:val="24"/>
              </w:rPr>
            </w:pPr>
            <w:r>
              <w:rPr>
                <w:rFonts w:hint="eastAsia" w:ascii="楷体" w:hAnsi="楷体" w:eastAsia="楷体" w:cs="楷体"/>
                <w:sz w:val="24"/>
                <w:szCs w:val="24"/>
              </w:rPr>
              <w:t>TE01</w:t>
            </w:r>
          </w:p>
        </w:tc>
        <w:tc>
          <w:tcPr>
            <w:tcW w:w="2367" w:type="pct"/>
            <w:tcBorders>
              <w:top w:val="single" w:color="auto" w:sz="4" w:space="0"/>
              <w:left w:val="single" w:color="auto" w:sz="4" w:space="0"/>
              <w:bottom w:val="single" w:color="auto" w:sz="4" w:space="0"/>
              <w:right w:val="single" w:color="auto" w:sz="4" w:space="0"/>
            </w:tcBorders>
            <w:shd w:val="clear" w:color="auto" w:fill="auto"/>
            <w:vAlign w:val="center"/>
          </w:tcPr>
          <w:p w14:paraId="1E53962E">
            <w:pPr>
              <w:jc w:val="both"/>
              <w:rPr>
                <w:rFonts w:ascii="楷体" w:hAnsi="楷体" w:eastAsia="楷体" w:cs="楷体"/>
                <w:sz w:val="24"/>
                <w:szCs w:val="24"/>
              </w:rPr>
            </w:pPr>
            <w:r>
              <w:rPr>
                <w:rFonts w:hint="eastAsia" w:ascii="楷体" w:hAnsi="楷体" w:eastAsia="楷体" w:cs="楷体"/>
                <w:sz w:val="24"/>
                <w:szCs w:val="24"/>
              </w:rPr>
              <w:t>配电箱未按文明施工要求做好标识等</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4DE1216F">
            <w:pPr>
              <w:jc w:val="both"/>
              <w:rPr>
                <w:rFonts w:ascii="楷体" w:hAnsi="楷体" w:eastAsia="楷体" w:cs="楷体"/>
                <w:sz w:val="24"/>
                <w:szCs w:val="24"/>
              </w:rPr>
            </w:pPr>
            <w:r>
              <w:rPr>
                <w:rFonts w:hint="eastAsia" w:ascii="楷体" w:hAnsi="楷体" w:eastAsia="楷体" w:cs="楷体"/>
                <w:sz w:val="24"/>
                <w:szCs w:val="24"/>
              </w:rPr>
              <w:t>每处每次500元</w:t>
            </w:r>
          </w:p>
        </w:tc>
        <w:tc>
          <w:tcPr>
            <w:tcW w:w="822" w:type="pct"/>
            <w:tcBorders>
              <w:top w:val="single" w:color="auto" w:sz="4" w:space="0"/>
              <w:left w:val="single" w:color="auto" w:sz="4" w:space="0"/>
              <w:bottom w:val="single" w:color="auto" w:sz="4" w:space="0"/>
              <w:right w:val="single" w:color="auto" w:sz="4" w:space="0"/>
            </w:tcBorders>
            <w:shd w:val="clear" w:color="auto" w:fill="auto"/>
            <w:vAlign w:val="center"/>
          </w:tcPr>
          <w:p w14:paraId="2AC17519">
            <w:pPr>
              <w:jc w:val="both"/>
              <w:rPr>
                <w:rFonts w:ascii="楷体" w:hAnsi="楷体" w:eastAsia="楷体" w:cs="楷体"/>
                <w:sz w:val="24"/>
                <w:szCs w:val="24"/>
              </w:rPr>
            </w:pPr>
            <w:r>
              <w:rPr>
                <w:rFonts w:hint="eastAsia" w:ascii="楷体" w:hAnsi="楷体" w:eastAsia="楷体" w:cs="楷体"/>
                <w:sz w:val="24"/>
                <w:szCs w:val="24"/>
              </w:rPr>
              <w:t>限期整改</w:t>
            </w:r>
          </w:p>
        </w:tc>
      </w:tr>
      <w:tr w14:paraId="335E2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561" w:type="pct"/>
            <w:tcBorders>
              <w:top w:val="single" w:color="auto" w:sz="4" w:space="0"/>
              <w:left w:val="single" w:color="auto" w:sz="4" w:space="0"/>
              <w:bottom w:val="single" w:color="auto" w:sz="4" w:space="0"/>
              <w:right w:val="single" w:color="auto" w:sz="4" w:space="0"/>
            </w:tcBorders>
            <w:shd w:val="clear" w:color="auto" w:fill="auto"/>
            <w:vAlign w:val="center"/>
          </w:tcPr>
          <w:p w14:paraId="058DD98F">
            <w:pPr>
              <w:jc w:val="both"/>
              <w:rPr>
                <w:rFonts w:ascii="楷体" w:hAnsi="楷体" w:eastAsia="楷体" w:cs="楷体"/>
                <w:sz w:val="24"/>
                <w:szCs w:val="24"/>
              </w:rPr>
            </w:pPr>
            <w:r>
              <w:rPr>
                <w:rFonts w:hint="eastAsia" w:ascii="楷体" w:hAnsi="楷体" w:eastAsia="楷体" w:cs="楷体"/>
                <w:sz w:val="24"/>
                <w:szCs w:val="24"/>
              </w:rPr>
              <w:t>TE02</w:t>
            </w:r>
          </w:p>
        </w:tc>
        <w:tc>
          <w:tcPr>
            <w:tcW w:w="2367" w:type="pct"/>
            <w:tcBorders>
              <w:top w:val="single" w:color="auto" w:sz="4" w:space="0"/>
              <w:left w:val="single" w:color="auto" w:sz="4" w:space="0"/>
              <w:bottom w:val="single" w:color="auto" w:sz="4" w:space="0"/>
              <w:right w:val="single" w:color="auto" w:sz="4" w:space="0"/>
            </w:tcBorders>
            <w:shd w:val="clear" w:color="auto" w:fill="auto"/>
            <w:vAlign w:val="center"/>
          </w:tcPr>
          <w:p w14:paraId="3E9B39CF">
            <w:pPr>
              <w:jc w:val="both"/>
              <w:rPr>
                <w:rFonts w:ascii="楷体" w:hAnsi="楷体" w:eastAsia="楷体" w:cs="楷体"/>
                <w:sz w:val="24"/>
                <w:szCs w:val="24"/>
              </w:rPr>
            </w:pPr>
            <w:r>
              <w:rPr>
                <w:rFonts w:hint="eastAsia" w:ascii="楷体" w:hAnsi="楷体" w:eastAsia="楷体" w:cs="楷体"/>
                <w:sz w:val="24"/>
                <w:szCs w:val="24"/>
              </w:rPr>
              <w:t>室外电箱未做防雨防砸装置</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521729B6">
            <w:pPr>
              <w:jc w:val="both"/>
              <w:rPr>
                <w:rFonts w:ascii="楷体" w:hAnsi="楷体" w:eastAsia="楷体" w:cs="楷体"/>
                <w:sz w:val="24"/>
                <w:szCs w:val="24"/>
              </w:rPr>
            </w:pPr>
            <w:r>
              <w:rPr>
                <w:rFonts w:hint="eastAsia" w:ascii="楷体" w:hAnsi="楷体" w:eastAsia="楷体" w:cs="楷体"/>
                <w:sz w:val="24"/>
                <w:szCs w:val="24"/>
              </w:rPr>
              <w:t>每处每次1000元</w:t>
            </w:r>
          </w:p>
        </w:tc>
        <w:tc>
          <w:tcPr>
            <w:tcW w:w="822" w:type="pct"/>
            <w:tcBorders>
              <w:top w:val="single" w:color="auto" w:sz="4" w:space="0"/>
              <w:left w:val="single" w:color="auto" w:sz="4" w:space="0"/>
              <w:bottom w:val="single" w:color="auto" w:sz="4" w:space="0"/>
              <w:right w:val="single" w:color="auto" w:sz="4" w:space="0"/>
            </w:tcBorders>
            <w:shd w:val="clear" w:color="auto" w:fill="auto"/>
            <w:vAlign w:val="center"/>
          </w:tcPr>
          <w:p w14:paraId="4A42D4D6">
            <w:pPr>
              <w:jc w:val="both"/>
              <w:rPr>
                <w:rFonts w:ascii="楷体" w:hAnsi="楷体" w:eastAsia="楷体" w:cs="楷体"/>
                <w:sz w:val="24"/>
                <w:szCs w:val="24"/>
              </w:rPr>
            </w:pPr>
          </w:p>
        </w:tc>
      </w:tr>
      <w:tr w14:paraId="373E3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561" w:type="pct"/>
            <w:tcBorders>
              <w:top w:val="single" w:color="auto" w:sz="4" w:space="0"/>
              <w:left w:val="single" w:color="auto" w:sz="4" w:space="0"/>
              <w:bottom w:val="single" w:color="auto" w:sz="4" w:space="0"/>
              <w:right w:val="single" w:color="auto" w:sz="4" w:space="0"/>
            </w:tcBorders>
            <w:shd w:val="clear" w:color="auto" w:fill="auto"/>
            <w:vAlign w:val="center"/>
          </w:tcPr>
          <w:p w14:paraId="504D693E">
            <w:pPr>
              <w:jc w:val="both"/>
              <w:rPr>
                <w:rFonts w:ascii="楷体" w:hAnsi="楷体" w:eastAsia="楷体" w:cs="楷体"/>
                <w:sz w:val="24"/>
                <w:szCs w:val="24"/>
              </w:rPr>
            </w:pPr>
            <w:r>
              <w:rPr>
                <w:rFonts w:hint="eastAsia" w:ascii="楷体" w:hAnsi="楷体" w:eastAsia="楷体" w:cs="楷体"/>
                <w:sz w:val="24"/>
                <w:szCs w:val="24"/>
              </w:rPr>
              <w:t>TE03</w:t>
            </w:r>
          </w:p>
        </w:tc>
        <w:tc>
          <w:tcPr>
            <w:tcW w:w="2367" w:type="pct"/>
            <w:tcBorders>
              <w:top w:val="single" w:color="auto" w:sz="4" w:space="0"/>
              <w:left w:val="single" w:color="auto" w:sz="4" w:space="0"/>
              <w:bottom w:val="single" w:color="auto" w:sz="4" w:space="0"/>
              <w:right w:val="single" w:color="auto" w:sz="4" w:space="0"/>
            </w:tcBorders>
            <w:shd w:val="clear" w:color="auto" w:fill="auto"/>
            <w:vAlign w:val="center"/>
          </w:tcPr>
          <w:p w14:paraId="405872F0">
            <w:pPr>
              <w:jc w:val="both"/>
              <w:rPr>
                <w:rFonts w:ascii="楷体" w:hAnsi="楷体" w:eastAsia="楷体" w:cs="楷体"/>
                <w:sz w:val="24"/>
                <w:szCs w:val="24"/>
              </w:rPr>
            </w:pPr>
            <w:r>
              <w:rPr>
                <w:rFonts w:hint="eastAsia" w:ascii="楷体" w:hAnsi="楷体" w:eastAsia="楷体" w:cs="楷体"/>
                <w:sz w:val="24"/>
                <w:szCs w:val="24"/>
              </w:rPr>
              <w:t>室内电箱未做警示隔离</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5B5F6DF3">
            <w:pPr>
              <w:jc w:val="both"/>
              <w:rPr>
                <w:rFonts w:ascii="楷体" w:hAnsi="楷体" w:eastAsia="楷体" w:cs="楷体"/>
                <w:sz w:val="24"/>
                <w:szCs w:val="24"/>
              </w:rPr>
            </w:pPr>
            <w:r>
              <w:rPr>
                <w:rFonts w:hint="eastAsia" w:ascii="楷体" w:hAnsi="楷体" w:eastAsia="楷体" w:cs="楷体"/>
                <w:sz w:val="24"/>
                <w:szCs w:val="24"/>
              </w:rPr>
              <w:t>每处每次500元</w:t>
            </w:r>
          </w:p>
        </w:tc>
        <w:tc>
          <w:tcPr>
            <w:tcW w:w="822" w:type="pct"/>
            <w:tcBorders>
              <w:top w:val="single" w:color="auto" w:sz="4" w:space="0"/>
              <w:left w:val="single" w:color="auto" w:sz="4" w:space="0"/>
              <w:bottom w:val="single" w:color="auto" w:sz="4" w:space="0"/>
              <w:right w:val="single" w:color="auto" w:sz="4" w:space="0"/>
            </w:tcBorders>
            <w:shd w:val="clear" w:color="auto" w:fill="auto"/>
            <w:vAlign w:val="center"/>
          </w:tcPr>
          <w:p w14:paraId="10999683">
            <w:pPr>
              <w:jc w:val="both"/>
              <w:rPr>
                <w:rFonts w:ascii="楷体" w:hAnsi="楷体" w:eastAsia="楷体" w:cs="楷体"/>
                <w:sz w:val="24"/>
                <w:szCs w:val="24"/>
              </w:rPr>
            </w:pPr>
          </w:p>
        </w:tc>
      </w:tr>
      <w:tr w14:paraId="32616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561" w:type="pct"/>
            <w:tcBorders>
              <w:top w:val="single" w:color="auto" w:sz="4" w:space="0"/>
              <w:left w:val="single" w:color="auto" w:sz="4" w:space="0"/>
              <w:bottom w:val="single" w:color="auto" w:sz="4" w:space="0"/>
              <w:right w:val="single" w:color="auto" w:sz="4" w:space="0"/>
            </w:tcBorders>
            <w:shd w:val="clear" w:color="auto" w:fill="auto"/>
            <w:vAlign w:val="center"/>
          </w:tcPr>
          <w:p w14:paraId="0C38B8D0">
            <w:pPr>
              <w:jc w:val="both"/>
              <w:rPr>
                <w:rFonts w:ascii="楷体" w:hAnsi="楷体" w:eastAsia="楷体" w:cs="楷体"/>
                <w:sz w:val="24"/>
                <w:szCs w:val="24"/>
              </w:rPr>
            </w:pPr>
            <w:r>
              <w:rPr>
                <w:rFonts w:hint="eastAsia" w:ascii="楷体" w:hAnsi="楷体" w:eastAsia="楷体" w:cs="楷体"/>
                <w:sz w:val="24"/>
                <w:szCs w:val="24"/>
              </w:rPr>
              <w:t>TE04</w:t>
            </w:r>
          </w:p>
        </w:tc>
        <w:tc>
          <w:tcPr>
            <w:tcW w:w="2367" w:type="pct"/>
            <w:tcBorders>
              <w:top w:val="single" w:color="auto" w:sz="4" w:space="0"/>
              <w:left w:val="single" w:color="auto" w:sz="4" w:space="0"/>
              <w:bottom w:val="single" w:color="auto" w:sz="4" w:space="0"/>
              <w:right w:val="single" w:color="auto" w:sz="4" w:space="0"/>
            </w:tcBorders>
            <w:shd w:val="clear" w:color="auto" w:fill="auto"/>
            <w:vAlign w:val="center"/>
          </w:tcPr>
          <w:p w14:paraId="4DA88240">
            <w:pPr>
              <w:jc w:val="both"/>
              <w:rPr>
                <w:rFonts w:ascii="楷体" w:hAnsi="楷体" w:eastAsia="楷体" w:cs="楷体"/>
                <w:sz w:val="24"/>
                <w:szCs w:val="24"/>
              </w:rPr>
            </w:pPr>
            <w:r>
              <w:rPr>
                <w:rFonts w:hint="eastAsia" w:ascii="楷体" w:hAnsi="楷体" w:eastAsia="楷体" w:cs="楷体"/>
                <w:sz w:val="24"/>
                <w:szCs w:val="24"/>
              </w:rPr>
              <w:t>室外配电线路未按规范要求铺设\高架\防护</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5622C631">
            <w:pPr>
              <w:jc w:val="both"/>
              <w:rPr>
                <w:rFonts w:ascii="楷体" w:hAnsi="楷体" w:eastAsia="楷体" w:cs="楷体"/>
                <w:sz w:val="24"/>
                <w:szCs w:val="24"/>
              </w:rPr>
            </w:pPr>
            <w:r>
              <w:rPr>
                <w:rFonts w:hint="eastAsia" w:ascii="楷体" w:hAnsi="楷体" w:eastAsia="楷体" w:cs="楷体"/>
                <w:sz w:val="24"/>
                <w:szCs w:val="24"/>
              </w:rPr>
              <w:t>每处每次2000元</w:t>
            </w:r>
          </w:p>
        </w:tc>
        <w:tc>
          <w:tcPr>
            <w:tcW w:w="822" w:type="pct"/>
            <w:tcBorders>
              <w:top w:val="single" w:color="auto" w:sz="4" w:space="0"/>
              <w:left w:val="single" w:color="auto" w:sz="4" w:space="0"/>
              <w:bottom w:val="single" w:color="auto" w:sz="4" w:space="0"/>
              <w:right w:val="single" w:color="auto" w:sz="4" w:space="0"/>
            </w:tcBorders>
            <w:shd w:val="clear" w:color="auto" w:fill="auto"/>
            <w:vAlign w:val="center"/>
          </w:tcPr>
          <w:p w14:paraId="2845D59F">
            <w:pPr>
              <w:jc w:val="both"/>
              <w:rPr>
                <w:rFonts w:ascii="楷体" w:hAnsi="楷体" w:eastAsia="楷体" w:cs="楷体"/>
                <w:sz w:val="24"/>
                <w:szCs w:val="24"/>
              </w:rPr>
            </w:pPr>
          </w:p>
        </w:tc>
      </w:tr>
      <w:tr w14:paraId="52ECC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561" w:type="pct"/>
            <w:tcBorders>
              <w:top w:val="single" w:color="auto" w:sz="4" w:space="0"/>
              <w:left w:val="single" w:color="auto" w:sz="4" w:space="0"/>
              <w:bottom w:val="single" w:color="auto" w:sz="4" w:space="0"/>
              <w:right w:val="single" w:color="auto" w:sz="4" w:space="0"/>
            </w:tcBorders>
            <w:shd w:val="clear" w:color="auto" w:fill="auto"/>
            <w:vAlign w:val="center"/>
          </w:tcPr>
          <w:p w14:paraId="7021E24D">
            <w:pPr>
              <w:jc w:val="both"/>
              <w:rPr>
                <w:rFonts w:ascii="楷体" w:hAnsi="楷体" w:eastAsia="楷体" w:cs="楷体"/>
                <w:sz w:val="24"/>
                <w:szCs w:val="24"/>
              </w:rPr>
            </w:pPr>
            <w:r>
              <w:rPr>
                <w:rFonts w:hint="eastAsia" w:ascii="楷体" w:hAnsi="楷体" w:eastAsia="楷体" w:cs="楷体"/>
                <w:sz w:val="24"/>
                <w:szCs w:val="24"/>
              </w:rPr>
              <w:t>TE05</w:t>
            </w:r>
          </w:p>
        </w:tc>
        <w:tc>
          <w:tcPr>
            <w:tcW w:w="2367" w:type="pct"/>
            <w:tcBorders>
              <w:top w:val="single" w:color="auto" w:sz="4" w:space="0"/>
              <w:left w:val="single" w:color="auto" w:sz="4" w:space="0"/>
              <w:bottom w:val="single" w:color="auto" w:sz="4" w:space="0"/>
              <w:right w:val="single" w:color="auto" w:sz="4" w:space="0"/>
            </w:tcBorders>
            <w:shd w:val="clear" w:color="auto" w:fill="auto"/>
            <w:vAlign w:val="center"/>
          </w:tcPr>
          <w:p w14:paraId="57654AF8">
            <w:pPr>
              <w:jc w:val="both"/>
              <w:rPr>
                <w:rFonts w:ascii="楷体" w:hAnsi="楷体" w:eastAsia="楷体" w:cs="楷体"/>
                <w:sz w:val="24"/>
                <w:szCs w:val="24"/>
              </w:rPr>
            </w:pPr>
            <w:r>
              <w:rPr>
                <w:rFonts w:hint="eastAsia" w:ascii="楷体" w:hAnsi="楷体" w:eastAsia="楷体" w:cs="楷体"/>
                <w:sz w:val="24"/>
                <w:szCs w:val="24"/>
              </w:rPr>
              <w:t>室内配电线路未按规范要求铺设\高挂\防护</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790F7A24">
            <w:pPr>
              <w:jc w:val="both"/>
              <w:rPr>
                <w:rFonts w:ascii="楷体" w:hAnsi="楷体" w:eastAsia="楷体" w:cs="楷体"/>
                <w:sz w:val="24"/>
                <w:szCs w:val="24"/>
              </w:rPr>
            </w:pPr>
            <w:r>
              <w:rPr>
                <w:rFonts w:hint="eastAsia" w:ascii="楷体" w:hAnsi="楷体" w:eastAsia="楷体" w:cs="楷体"/>
                <w:sz w:val="24"/>
                <w:szCs w:val="24"/>
              </w:rPr>
              <w:t>每处每次1000元</w:t>
            </w:r>
          </w:p>
        </w:tc>
        <w:tc>
          <w:tcPr>
            <w:tcW w:w="822" w:type="pct"/>
            <w:tcBorders>
              <w:top w:val="single" w:color="auto" w:sz="4" w:space="0"/>
              <w:left w:val="single" w:color="auto" w:sz="4" w:space="0"/>
              <w:bottom w:val="single" w:color="auto" w:sz="4" w:space="0"/>
              <w:right w:val="single" w:color="auto" w:sz="4" w:space="0"/>
            </w:tcBorders>
            <w:shd w:val="clear" w:color="auto" w:fill="auto"/>
            <w:vAlign w:val="center"/>
          </w:tcPr>
          <w:p w14:paraId="7D99CA70">
            <w:pPr>
              <w:jc w:val="both"/>
              <w:rPr>
                <w:rFonts w:ascii="楷体" w:hAnsi="楷体" w:eastAsia="楷体" w:cs="楷体"/>
                <w:sz w:val="24"/>
                <w:szCs w:val="24"/>
              </w:rPr>
            </w:pPr>
          </w:p>
        </w:tc>
      </w:tr>
      <w:tr w14:paraId="1D135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561" w:type="pct"/>
            <w:tcBorders>
              <w:top w:val="single" w:color="auto" w:sz="4" w:space="0"/>
              <w:left w:val="single" w:color="auto" w:sz="4" w:space="0"/>
              <w:bottom w:val="single" w:color="auto" w:sz="4" w:space="0"/>
              <w:right w:val="single" w:color="auto" w:sz="4" w:space="0"/>
            </w:tcBorders>
            <w:shd w:val="clear" w:color="auto" w:fill="auto"/>
            <w:vAlign w:val="center"/>
          </w:tcPr>
          <w:p w14:paraId="01B46CDF">
            <w:pPr>
              <w:jc w:val="both"/>
              <w:rPr>
                <w:rFonts w:ascii="楷体" w:hAnsi="楷体" w:eastAsia="楷体" w:cs="楷体"/>
                <w:sz w:val="24"/>
                <w:szCs w:val="24"/>
              </w:rPr>
            </w:pPr>
            <w:r>
              <w:rPr>
                <w:rFonts w:hint="eastAsia" w:ascii="楷体" w:hAnsi="楷体" w:eastAsia="楷体" w:cs="楷体"/>
                <w:sz w:val="24"/>
                <w:szCs w:val="24"/>
              </w:rPr>
              <w:t>TE06</w:t>
            </w:r>
          </w:p>
        </w:tc>
        <w:tc>
          <w:tcPr>
            <w:tcW w:w="2367" w:type="pct"/>
            <w:tcBorders>
              <w:top w:val="single" w:color="auto" w:sz="4" w:space="0"/>
              <w:left w:val="single" w:color="auto" w:sz="4" w:space="0"/>
              <w:bottom w:val="single" w:color="auto" w:sz="4" w:space="0"/>
              <w:right w:val="single" w:color="auto" w:sz="4" w:space="0"/>
            </w:tcBorders>
            <w:shd w:val="clear" w:color="auto" w:fill="auto"/>
            <w:vAlign w:val="center"/>
          </w:tcPr>
          <w:p w14:paraId="4A588B2F">
            <w:pPr>
              <w:jc w:val="both"/>
              <w:rPr>
                <w:rFonts w:ascii="楷体" w:hAnsi="楷体" w:eastAsia="楷体" w:cs="楷体"/>
                <w:sz w:val="24"/>
                <w:szCs w:val="24"/>
              </w:rPr>
            </w:pPr>
            <w:r>
              <w:rPr>
                <w:rFonts w:hint="eastAsia" w:ascii="楷体" w:hAnsi="楷体" w:eastAsia="楷体" w:cs="楷体"/>
                <w:sz w:val="24"/>
                <w:szCs w:val="24"/>
              </w:rPr>
              <w:t>未按规定线制配线，缺少零线或地线</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798F5640">
            <w:pPr>
              <w:jc w:val="both"/>
              <w:rPr>
                <w:rFonts w:ascii="楷体" w:hAnsi="楷体" w:eastAsia="楷体" w:cs="楷体"/>
                <w:sz w:val="24"/>
                <w:szCs w:val="24"/>
              </w:rPr>
            </w:pPr>
            <w:r>
              <w:rPr>
                <w:rFonts w:hint="eastAsia" w:ascii="楷体" w:hAnsi="楷体" w:eastAsia="楷体" w:cs="楷体"/>
                <w:sz w:val="24"/>
                <w:szCs w:val="24"/>
              </w:rPr>
              <w:t>每处每次3000元</w:t>
            </w:r>
          </w:p>
        </w:tc>
        <w:tc>
          <w:tcPr>
            <w:tcW w:w="822" w:type="pct"/>
            <w:tcBorders>
              <w:top w:val="single" w:color="auto" w:sz="4" w:space="0"/>
              <w:left w:val="single" w:color="auto" w:sz="4" w:space="0"/>
              <w:bottom w:val="single" w:color="auto" w:sz="4" w:space="0"/>
              <w:right w:val="single" w:color="auto" w:sz="4" w:space="0"/>
            </w:tcBorders>
            <w:shd w:val="clear" w:color="auto" w:fill="auto"/>
            <w:vAlign w:val="center"/>
          </w:tcPr>
          <w:p w14:paraId="40419103">
            <w:pPr>
              <w:jc w:val="both"/>
              <w:rPr>
                <w:rFonts w:ascii="楷体" w:hAnsi="楷体" w:eastAsia="楷体" w:cs="楷体"/>
                <w:sz w:val="24"/>
                <w:szCs w:val="24"/>
              </w:rPr>
            </w:pPr>
          </w:p>
        </w:tc>
      </w:tr>
      <w:tr w14:paraId="693FE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561" w:type="pct"/>
            <w:tcBorders>
              <w:top w:val="single" w:color="auto" w:sz="4" w:space="0"/>
              <w:left w:val="single" w:color="auto" w:sz="4" w:space="0"/>
              <w:bottom w:val="single" w:color="auto" w:sz="4" w:space="0"/>
              <w:right w:val="single" w:color="auto" w:sz="4" w:space="0"/>
            </w:tcBorders>
            <w:shd w:val="clear" w:color="auto" w:fill="auto"/>
            <w:vAlign w:val="center"/>
          </w:tcPr>
          <w:p w14:paraId="5CC99F97">
            <w:pPr>
              <w:jc w:val="both"/>
              <w:rPr>
                <w:rFonts w:ascii="楷体" w:hAnsi="楷体" w:eastAsia="楷体" w:cs="楷体"/>
                <w:sz w:val="24"/>
                <w:szCs w:val="24"/>
              </w:rPr>
            </w:pPr>
            <w:r>
              <w:rPr>
                <w:rFonts w:hint="eastAsia" w:ascii="楷体" w:hAnsi="楷体" w:eastAsia="楷体" w:cs="楷体"/>
                <w:sz w:val="24"/>
                <w:szCs w:val="24"/>
              </w:rPr>
              <w:t>TE07</w:t>
            </w:r>
          </w:p>
        </w:tc>
        <w:tc>
          <w:tcPr>
            <w:tcW w:w="2367" w:type="pct"/>
            <w:tcBorders>
              <w:top w:val="single" w:color="auto" w:sz="4" w:space="0"/>
              <w:left w:val="single" w:color="auto" w:sz="4" w:space="0"/>
              <w:bottom w:val="single" w:color="auto" w:sz="4" w:space="0"/>
              <w:right w:val="single" w:color="auto" w:sz="4" w:space="0"/>
            </w:tcBorders>
            <w:shd w:val="clear" w:color="auto" w:fill="auto"/>
            <w:vAlign w:val="center"/>
          </w:tcPr>
          <w:p w14:paraId="725C391B">
            <w:pPr>
              <w:jc w:val="both"/>
              <w:rPr>
                <w:rFonts w:ascii="楷体" w:hAnsi="楷体" w:eastAsia="楷体" w:cs="楷体"/>
                <w:sz w:val="24"/>
                <w:szCs w:val="24"/>
              </w:rPr>
            </w:pPr>
            <w:r>
              <w:rPr>
                <w:rFonts w:hint="eastAsia" w:ascii="楷体" w:hAnsi="楷体" w:eastAsia="楷体" w:cs="楷体"/>
                <w:sz w:val="24"/>
                <w:szCs w:val="24"/>
              </w:rPr>
              <w:t>电线内各种芯线未按照规定颜色配置</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140F60E5">
            <w:pPr>
              <w:jc w:val="both"/>
              <w:rPr>
                <w:rFonts w:ascii="楷体" w:hAnsi="楷体" w:eastAsia="楷体" w:cs="楷体"/>
                <w:sz w:val="24"/>
                <w:szCs w:val="24"/>
              </w:rPr>
            </w:pPr>
            <w:r>
              <w:rPr>
                <w:rFonts w:hint="eastAsia" w:ascii="楷体" w:hAnsi="楷体" w:eastAsia="楷体" w:cs="楷体"/>
                <w:sz w:val="24"/>
                <w:szCs w:val="24"/>
              </w:rPr>
              <w:t>每处每次1000元</w:t>
            </w:r>
          </w:p>
        </w:tc>
        <w:tc>
          <w:tcPr>
            <w:tcW w:w="822" w:type="pct"/>
            <w:tcBorders>
              <w:top w:val="single" w:color="auto" w:sz="4" w:space="0"/>
              <w:left w:val="single" w:color="auto" w:sz="4" w:space="0"/>
              <w:bottom w:val="single" w:color="auto" w:sz="4" w:space="0"/>
              <w:right w:val="single" w:color="auto" w:sz="4" w:space="0"/>
            </w:tcBorders>
            <w:shd w:val="clear" w:color="auto" w:fill="auto"/>
            <w:vAlign w:val="center"/>
          </w:tcPr>
          <w:p w14:paraId="564A75D6">
            <w:pPr>
              <w:jc w:val="both"/>
              <w:rPr>
                <w:rFonts w:ascii="楷体" w:hAnsi="楷体" w:eastAsia="楷体" w:cs="楷体"/>
                <w:sz w:val="24"/>
                <w:szCs w:val="24"/>
              </w:rPr>
            </w:pPr>
          </w:p>
        </w:tc>
      </w:tr>
      <w:tr w14:paraId="07BBF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61" w:type="pct"/>
            <w:tcBorders>
              <w:top w:val="single" w:color="auto" w:sz="4" w:space="0"/>
              <w:left w:val="single" w:color="auto" w:sz="4" w:space="0"/>
              <w:bottom w:val="single" w:color="auto" w:sz="4" w:space="0"/>
              <w:right w:val="single" w:color="auto" w:sz="4" w:space="0"/>
            </w:tcBorders>
            <w:shd w:val="clear" w:color="auto" w:fill="auto"/>
            <w:vAlign w:val="center"/>
          </w:tcPr>
          <w:p w14:paraId="58DA60E0">
            <w:pPr>
              <w:jc w:val="both"/>
              <w:rPr>
                <w:rFonts w:ascii="楷体" w:hAnsi="楷体" w:eastAsia="楷体" w:cs="楷体"/>
                <w:sz w:val="24"/>
                <w:szCs w:val="24"/>
              </w:rPr>
            </w:pPr>
            <w:r>
              <w:rPr>
                <w:rFonts w:hint="eastAsia" w:ascii="楷体" w:hAnsi="楷体" w:eastAsia="楷体" w:cs="楷体"/>
                <w:sz w:val="24"/>
                <w:szCs w:val="24"/>
              </w:rPr>
              <w:t>TE08</w:t>
            </w:r>
          </w:p>
        </w:tc>
        <w:tc>
          <w:tcPr>
            <w:tcW w:w="2367" w:type="pct"/>
            <w:tcBorders>
              <w:top w:val="single" w:color="auto" w:sz="4" w:space="0"/>
              <w:left w:val="single" w:color="auto" w:sz="4" w:space="0"/>
              <w:bottom w:val="single" w:color="auto" w:sz="4" w:space="0"/>
              <w:right w:val="single" w:color="auto" w:sz="4" w:space="0"/>
            </w:tcBorders>
            <w:shd w:val="clear" w:color="auto" w:fill="auto"/>
            <w:vAlign w:val="center"/>
          </w:tcPr>
          <w:p w14:paraId="4DEB8002">
            <w:pPr>
              <w:jc w:val="both"/>
              <w:rPr>
                <w:rFonts w:ascii="楷体" w:hAnsi="楷体" w:eastAsia="楷体" w:cs="楷体"/>
                <w:sz w:val="24"/>
                <w:szCs w:val="24"/>
              </w:rPr>
            </w:pPr>
            <w:r>
              <w:rPr>
                <w:rFonts w:hint="eastAsia" w:ascii="楷体" w:hAnsi="楷体" w:eastAsia="楷体" w:cs="楷体"/>
                <w:sz w:val="24"/>
                <w:szCs w:val="24"/>
              </w:rPr>
              <w:t>施工用电未规定接线或未标明各相线路</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2BB2467D">
            <w:pPr>
              <w:jc w:val="both"/>
              <w:rPr>
                <w:rFonts w:ascii="楷体" w:hAnsi="楷体" w:eastAsia="楷体" w:cs="楷体"/>
                <w:sz w:val="24"/>
                <w:szCs w:val="24"/>
              </w:rPr>
            </w:pPr>
            <w:r>
              <w:rPr>
                <w:rFonts w:hint="eastAsia" w:ascii="楷体" w:hAnsi="楷体" w:eastAsia="楷体" w:cs="楷体"/>
                <w:sz w:val="24"/>
                <w:szCs w:val="24"/>
              </w:rPr>
              <w:t>每处每次500元</w:t>
            </w:r>
          </w:p>
        </w:tc>
        <w:tc>
          <w:tcPr>
            <w:tcW w:w="822" w:type="pct"/>
            <w:tcBorders>
              <w:top w:val="single" w:color="auto" w:sz="4" w:space="0"/>
              <w:left w:val="single" w:color="auto" w:sz="4" w:space="0"/>
              <w:bottom w:val="single" w:color="auto" w:sz="4" w:space="0"/>
              <w:right w:val="single" w:color="auto" w:sz="4" w:space="0"/>
            </w:tcBorders>
            <w:shd w:val="clear" w:color="auto" w:fill="auto"/>
            <w:vAlign w:val="center"/>
          </w:tcPr>
          <w:p w14:paraId="6A20ECB4">
            <w:pPr>
              <w:jc w:val="both"/>
              <w:rPr>
                <w:rFonts w:ascii="楷体" w:hAnsi="楷体" w:eastAsia="楷体" w:cs="楷体"/>
                <w:sz w:val="24"/>
                <w:szCs w:val="24"/>
              </w:rPr>
            </w:pPr>
          </w:p>
        </w:tc>
      </w:tr>
      <w:tr w14:paraId="26D3E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61" w:type="pct"/>
            <w:tcBorders>
              <w:top w:val="single" w:color="auto" w:sz="4" w:space="0"/>
              <w:left w:val="single" w:color="auto" w:sz="4" w:space="0"/>
              <w:bottom w:val="single" w:color="auto" w:sz="4" w:space="0"/>
              <w:right w:val="single" w:color="auto" w:sz="4" w:space="0"/>
            </w:tcBorders>
            <w:shd w:val="clear" w:color="auto" w:fill="auto"/>
            <w:vAlign w:val="center"/>
          </w:tcPr>
          <w:p w14:paraId="2CDE8E86">
            <w:pPr>
              <w:jc w:val="both"/>
              <w:rPr>
                <w:rFonts w:ascii="楷体" w:hAnsi="楷体" w:eastAsia="楷体" w:cs="楷体"/>
                <w:sz w:val="24"/>
                <w:szCs w:val="24"/>
              </w:rPr>
            </w:pPr>
            <w:r>
              <w:rPr>
                <w:rFonts w:hint="eastAsia" w:ascii="楷体" w:hAnsi="楷体" w:eastAsia="楷体" w:cs="楷体"/>
                <w:sz w:val="24"/>
                <w:szCs w:val="24"/>
              </w:rPr>
              <w:t>TE09</w:t>
            </w:r>
          </w:p>
        </w:tc>
        <w:tc>
          <w:tcPr>
            <w:tcW w:w="2367" w:type="pct"/>
            <w:tcBorders>
              <w:top w:val="single" w:color="auto" w:sz="4" w:space="0"/>
              <w:left w:val="single" w:color="auto" w:sz="4" w:space="0"/>
              <w:bottom w:val="single" w:color="auto" w:sz="4" w:space="0"/>
              <w:right w:val="single" w:color="auto" w:sz="4" w:space="0"/>
            </w:tcBorders>
            <w:shd w:val="clear" w:color="auto" w:fill="auto"/>
            <w:vAlign w:val="center"/>
          </w:tcPr>
          <w:p w14:paraId="113227A1">
            <w:pPr>
              <w:jc w:val="both"/>
              <w:rPr>
                <w:rFonts w:ascii="楷体" w:hAnsi="楷体" w:eastAsia="楷体" w:cs="楷体"/>
                <w:sz w:val="24"/>
                <w:szCs w:val="24"/>
              </w:rPr>
            </w:pPr>
            <w:r>
              <w:rPr>
                <w:rFonts w:hint="eastAsia" w:ascii="楷体" w:hAnsi="楷体" w:eastAsia="楷体" w:cs="楷体"/>
                <w:sz w:val="24"/>
                <w:szCs w:val="24"/>
              </w:rPr>
              <w:t>各级电箱配置不符合规范要求</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44AE84C9">
            <w:pPr>
              <w:jc w:val="both"/>
              <w:rPr>
                <w:rFonts w:ascii="楷体" w:hAnsi="楷体" w:eastAsia="楷体" w:cs="楷体"/>
                <w:sz w:val="24"/>
                <w:szCs w:val="24"/>
              </w:rPr>
            </w:pPr>
            <w:r>
              <w:rPr>
                <w:rFonts w:hint="eastAsia" w:ascii="楷体" w:hAnsi="楷体" w:eastAsia="楷体" w:cs="楷体"/>
                <w:sz w:val="24"/>
                <w:szCs w:val="24"/>
              </w:rPr>
              <w:t>每处每次2000元</w:t>
            </w:r>
          </w:p>
        </w:tc>
        <w:tc>
          <w:tcPr>
            <w:tcW w:w="822" w:type="pct"/>
            <w:tcBorders>
              <w:top w:val="single" w:color="auto" w:sz="4" w:space="0"/>
              <w:left w:val="single" w:color="auto" w:sz="4" w:space="0"/>
              <w:bottom w:val="single" w:color="auto" w:sz="4" w:space="0"/>
              <w:right w:val="single" w:color="auto" w:sz="4" w:space="0"/>
            </w:tcBorders>
            <w:shd w:val="clear" w:color="auto" w:fill="auto"/>
            <w:vAlign w:val="center"/>
          </w:tcPr>
          <w:p w14:paraId="423E9F20">
            <w:pPr>
              <w:jc w:val="both"/>
              <w:rPr>
                <w:rFonts w:ascii="楷体" w:hAnsi="楷体" w:eastAsia="楷体" w:cs="楷体"/>
                <w:sz w:val="24"/>
                <w:szCs w:val="24"/>
              </w:rPr>
            </w:pPr>
            <w:r>
              <w:rPr>
                <w:rFonts w:hint="eastAsia" w:ascii="楷体" w:hAnsi="楷体" w:eastAsia="楷体" w:cs="楷体"/>
                <w:sz w:val="24"/>
                <w:szCs w:val="24"/>
              </w:rPr>
              <w:t>更换电箱</w:t>
            </w:r>
          </w:p>
        </w:tc>
      </w:tr>
      <w:tr w14:paraId="34FEF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561" w:type="pct"/>
            <w:tcBorders>
              <w:top w:val="single" w:color="auto" w:sz="4" w:space="0"/>
              <w:left w:val="single" w:color="auto" w:sz="4" w:space="0"/>
              <w:bottom w:val="single" w:color="auto" w:sz="4" w:space="0"/>
              <w:right w:val="single" w:color="auto" w:sz="4" w:space="0"/>
            </w:tcBorders>
            <w:shd w:val="clear" w:color="auto" w:fill="auto"/>
            <w:vAlign w:val="center"/>
          </w:tcPr>
          <w:p w14:paraId="73ECED3B">
            <w:pPr>
              <w:jc w:val="both"/>
              <w:rPr>
                <w:rFonts w:ascii="楷体" w:hAnsi="楷体" w:eastAsia="楷体" w:cs="楷体"/>
                <w:sz w:val="24"/>
                <w:szCs w:val="24"/>
              </w:rPr>
            </w:pPr>
            <w:r>
              <w:rPr>
                <w:rFonts w:hint="eastAsia" w:ascii="楷体" w:hAnsi="楷体" w:eastAsia="楷体" w:cs="楷体"/>
                <w:sz w:val="24"/>
                <w:szCs w:val="24"/>
              </w:rPr>
              <w:t>TE10</w:t>
            </w:r>
          </w:p>
        </w:tc>
        <w:tc>
          <w:tcPr>
            <w:tcW w:w="2367" w:type="pct"/>
            <w:tcBorders>
              <w:top w:val="single" w:color="auto" w:sz="4" w:space="0"/>
              <w:left w:val="single" w:color="auto" w:sz="4" w:space="0"/>
              <w:bottom w:val="single" w:color="auto" w:sz="4" w:space="0"/>
              <w:right w:val="single" w:color="auto" w:sz="4" w:space="0"/>
            </w:tcBorders>
            <w:shd w:val="clear" w:color="auto" w:fill="auto"/>
            <w:vAlign w:val="center"/>
          </w:tcPr>
          <w:p w14:paraId="5FB80E08">
            <w:pPr>
              <w:jc w:val="both"/>
              <w:rPr>
                <w:rFonts w:ascii="楷体" w:hAnsi="楷体" w:eastAsia="楷体" w:cs="楷体"/>
                <w:sz w:val="24"/>
                <w:szCs w:val="24"/>
              </w:rPr>
            </w:pPr>
            <w:r>
              <w:rPr>
                <w:rFonts w:hint="eastAsia" w:ascii="楷体" w:hAnsi="楷体" w:eastAsia="楷体" w:cs="楷体"/>
                <w:sz w:val="24"/>
                <w:szCs w:val="24"/>
              </w:rPr>
              <w:t>各级用电保护不符合规范要求</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2AB27C8B">
            <w:pPr>
              <w:jc w:val="both"/>
              <w:rPr>
                <w:rFonts w:ascii="楷体" w:hAnsi="楷体" w:eastAsia="楷体" w:cs="楷体"/>
                <w:sz w:val="24"/>
                <w:szCs w:val="24"/>
              </w:rPr>
            </w:pPr>
            <w:r>
              <w:rPr>
                <w:rFonts w:hint="eastAsia" w:ascii="楷体" w:hAnsi="楷体" w:eastAsia="楷体" w:cs="楷体"/>
                <w:sz w:val="24"/>
                <w:szCs w:val="24"/>
              </w:rPr>
              <w:t>每处每次1000元</w:t>
            </w:r>
          </w:p>
        </w:tc>
        <w:tc>
          <w:tcPr>
            <w:tcW w:w="822" w:type="pct"/>
            <w:tcBorders>
              <w:top w:val="single" w:color="auto" w:sz="4" w:space="0"/>
              <w:left w:val="single" w:color="auto" w:sz="4" w:space="0"/>
              <w:bottom w:val="single" w:color="auto" w:sz="4" w:space="0"/>
              <w:right w:val="single" w:color="auto" w:sz="4" w:space="0"/>
            </w:tcBorders>
            <w:shd w:val="clear" w:color="auto" w:fill="auto"/>
            <w:vAlign w:val="center"/>
          </w:tcPr>
          <w:p w14:paraId="796BB497">
            <w:pPr>
              <w:jc w:val="both"/>
              <w:rPr>
                <w:rFonts w:ascii="楷体" w:hAnsi="楷体" w:eastAsia="楷体" w:cs="楷体"/>
                <w:sz w:val="24"/>
                <w:szCs w:val="24"/>
              </w:rPr>
            </w:pPr>
          </w:p>
        </w:tc>
      </w:tr>
      <w:tr w14:paraId="2056A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561" w:type="pct"/>
            <w:tcBorders>
              <w:top w:val="single" w:color="auto" w:sz="4" w:space="0"/>
              <w:left w:val="single" w:color="auto" w:sz="4" w:space="0"/>
              <w:bottom w:val="single" w:color="auto" w:sz="4" w:space="0"/>
              <w:right w:val="single" w:color="auto" w:sz="4" w:space="0"/>
            </w:tcBorders>
            <w:shd w:val="clear" w:color="auto" w:fill="auto"/>
            <w:vAlign w:val="center"/>
          </w:tcPr>
          <w:p w14:paraId="48636C99">
            <w:pPr>
              <w:jc w:val="both"/>
              <w:rPr>
                <w:rFonts w:ascii="楷体" w:hAnsi="楷体" w:eastAsia="楷体" w:cs="楷体"/>
                <w:sz w:val="24"/>
                <w:szCs w:val="24"/>
              </w:rPr>
            </w:pPr>
            <w:r>
              <w:rPr>
                <w:rFonts w:hint="eastAsia" w:ascii="楷体" w:hAnsi="楷体" w:eastAsia="楷体" w:cs="楷体"/>
                <w:sz w:val="24"/>
                <w:szCs w:val="24"/>
              </w:rPr>
              <w:t>TE11</w:t>
            </w:r>
          </w:p>
        </w:tc>
        <w:tc>
          <w:tcPr>
            <w:tcW w:w="2367" w:type="pct"/>
            <w:tcBorders>
              <w:top w:val="single" w:color="auto" w:sz="4" w:space="0"/>
              <w:left w:val="single" w:color="auto" w:sz="4" w:space="0"/>
              <w:bottom w:val="single" w:color="auto" w:sz="4" w:space="0"/>
              <w:right w:val="single" w:color="auto" w:sz="4" w:space="0"/>
            </w:tcBorders>
            <w:shd w:val="clear" w:color="auto" w:fill="auto"/>
            <w:vAlign w:val="center"/>
          </w:tcPr>
          <w:p w14:paraId="45886587">
            <w:pPr>
              <w:jc w:val="both"/>
              <w:rPr>
                <w:rFonts w:ascii="楷体" w:hAnsi="楷体" w:eastAsia="楷体" w:cs="楷体"/>
                <w:sz w:val="24"/>
                <w:szCs w:val="24"/>
              </w:rPr>
            </w:pPr>
            <w:r>
              <w:rPr>
                <w:rFonts w:hint="eastAsia" w:ascii="楷体" w:hAnsi="楷体" w:eastAsia="楷体" w:cs="楷体"/>
                <w:sz w:val="24"/>
                <w:szCs w:val="24"/>
              </w:rPr>
              <w:t>电线未做安全防护、扭结等处于危险隐患</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3FE498CB">
            <w:pPr>
              <w:jc w:val="both"/>
              <w:rPr>
                <w:rFonts w:ascii="楷体" w:hAnsi="楷体" w:eastAsia="楷体" w:cs="楷体"/>
                <w:sz w:val="24"/>
                <w:szCs w:val="24"/>
              </w:rPr>
            </w:pPr>
            <w:r>
              <w:rPr>
                <w:rFonts w:hint="eastAsia" w:ascii="楷体" w:hAnsi="楷体" w:eastAsia="楷体" w:cs="楷体"/>
                <w:sz w:val="24"/>
                <w:szCs w:val="24"/>
              </w:rPr>
              <w:t>每处每次500元</w:t>
            </w:r>
          </w:p>
        </w:tc>
        <w:tc>
          <w:tcPr>
            <w:tcW w:w="822" w:type="pct"/>
            <w:tcBorders>
              <w:top w:val="single" w:color="auto" w:sz="4" w:space="0"/>
              <w:left w:val="single" w:color="auto" w:sz="4" w:space="0"/>
              <w:bottom w:val="single" w:color="auto" w:sz="4" w:space="0"/>
              <w:right w:val="single" w:color="auto" w:sz="4" w:space="0"/>
            </w:tcBorders>
            <w:shd w:val="clear" w:color="auto" w:fill="auto"/>
            <w:vAlign w:val="center"/>
          </w:tcPr>
          <w:p w14:paraId="691AC591">
            <w:pPr>
              <w:jc w:val="both"/>
              <w:rPr>
                <w:rFonts w:ascii="楷体" w:hAnsi="楷体" w:eastAsia="楷体" w:cs="楷体"/>
                <w:sz w:val="24"/>
                <w:szCs w:val="24"/>
              </w:rPr>
            </w:pPr>
          </w:p>
        </w:tc>
      </w:tr>
      <w:tr w14:paraId="77309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561" w:type="pct"/>
            <w:tcBorders>
              <w:top w:val="single" w:color="auto" w:sz="4" w:space="0"/>
              <w:left w:val="single" w:color="auto" w:sz="4" w:space="0"/>
              <w:bottom w:val="single" w:color="auto" w:sz="4" w:space="0"/>
              <w:right w:val="single" w:color="auto" w:sz="4" w:space="0"/>
            </w:tcBorders>
            <w:shd w:val="clear" w:color="auto" w:fill="auto"/>
            <w:vAlign w:val="center"/>
          </w:tcPr>
          <w:p w14:paraId="6A67DEE5">
            <w:pPr>
              <w:jc w:val="both"/>
              <w:rPr>
                <w:rFonts w:ascii="楷体" w:hAnsi="楷体" w:eastAsia="楷体" w:cs="楷体"/>
                <w:sz w:val="24"/>
                <w:szCs w:val="24"/>
              </w:rPr>
            </w:pPr>
            <w:r>
              <w:rPr>
                <w:rFonts w:hint="eastAsia" w:ascii="楷体" w:hAnsi="楷体" w:eastAsia="楷体" w:cs="楷体"/>
                <w:sz w:val="24"/>
                <w:szCs w:val="24"/>
              </w:rPr>
              <w:t>TE12</w:t>
            </w:r>
          </w:p>
        </w:tc>
        <w:tc>
          <w:tcPr>
            <w:tcW w:w="2367" w:type="pct"/>
            <w:tcBorders>
              <w:top w:val="single" w:color="auto" w:sz="4" w:space="0"/>
              <w:left w:val="single" w:color="auto" w:sz="4" w:space="0"/>
              <w:bottom w:val="single" w:color="auto" w:sz="4" w:space="0"/>
              <w:right w:val="single" w:color="auto" w:sz="4" w:space="0"/>
            </w:tcBorders>
            <w:shd w:val="clear" w:color="auto" w:fill="auto"/>
            <w:vAlign w:val="center"/>
          </w:tcPr>
          <w:p w14:paraId="3F88E7E1">
            <w:pPr>
              <w:jc w:val="both"/>
              <w:rPr>
                <w:rFonts w:ascii="楷体" w:hAnsi="楷体" w:eastAsia="楷体" w:cs="楷体"/>
                <w:sz w:val="24"/>
                <w:szCs w:val="24"/>
              </w:rPr>
            </w:pPr>
            <w:r>
              <w:rPr>
                <w:rFonts w:hint="eastAsia" w:ascii="楷体" w:hAnsi="楷体" w:eastAsia="楷体" w:cs="楷体"/>
                <w:sz w:val="24"/>
                <w:szCs w:val="24"/>
              </w:rPr>
              <w:t>非专业电工进行电气设备维修、保养、维护等</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7962FF31">
            <w:pPr>
              <w:jc w:val="both"/>
              <w:rPr>
                <w:rFonts w:ascii="楷体" w:hAnsi="楷体" w:eastAsia="楷体" w:cs="楷体"/>
                <w:sz w:val="24"/>
                <w:szCs w:val="24"/>
              </w:rPr>
            </w:pPr>
            <w:r>
              <w:rPr>
                <w:rFonts w:hint="eastAsia" w:ascii="楷体" w:hAnsi="楷体" w:eastAsia="楷体" w:cs="楷体"/>
                <w:sz w:val="24"/>
                <w:szCs w:val="24"/>
              </w:rPr>
              <w:t>每处每次1000元</w:t>
            </w:r>
          </w:p>
        </w:tc>
        <w:tc>
          <w:tcPr>
            <w:tcW w:w="822" w:type="pct"/>
            <w:tcBorders>
              <w:top w:val="single" w:color="auto" w:sz="4" w:space="0"/>
              <w:left w:val="single" w:color="auto" w:sz="4" w:space="0"/>
              <w:bottom w:val="single" w:color="auto" w:sz="4" w:space="0"/>
              <w:right w:val="single" w:color="auto" w:sz="4" w:space="0"/>
            </w:tcBorders>
            <w:shd w:val="clear" w:color="auto" w:fill="auto"/>
            <w:vAlign w:val="center"/>
          </w:tcPr>
          <w:p w14:paraId="6CACD3B6">
            <w:pPr>
              <w:jc w:val="both"/>
              <w:rPr>
                <w:rFonts w:ascii="楷体" w:hAnsi="楷体" w:eastAsia="楷体" w:cs="楷体"/>
                <w:sz w:val="24"/>
                <w:szCs w:val="24"/>
              </w:rPr>
            </w:pPr>
          </w:p>
        </w:tc>
      </w:tr>
      <w:tr w14:paraId="23435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561" w:type="pct"/>
            <w:tcBorders>
              <w:top w:val="single" w:color="auto" w:sz="4" w:space="0"/>
              <w:left w:val="single" w:color="auto" w:sz="4" w:space="0"/>
              <w:bottom w:val="single" w:color="auto" w:sz="4" w:space="0"/>
              <w:right w:val="single" w:color="auto" w:sz="4" w:space="0"/>
            </w:tcBorders>
            <w:shd w:val="clear" w:color="auto" w:fill="auto"/>
            <w:vAlign w:val="center"/>
          </w:tcPr>
          <w:p w14:paraId="3243836D">
            <w:pPr>
              <w:jc w:val="both"/>
              <w:rPr>
                <w:rFonts w:ascii="楷体" w:hAnsi="楷体" w:eastAsia="楷体" w:cs="楷体"/>
                <w:sz w:val="24"/>
                <w:szCs w:val="24"/>
              </w:rPr>
            </w:pPr>
            <w:r>
              <w:rPr>
                <w:rFonts w:hint="eastAsia" w:ascii="楷体" w:hAnsi="楷体" w:eastAsia="楷体" w:cs="楷体"/>
                <w:sz w:val="24"/>
                <w:szCs w:val="24"/>
              </w:rPr>
              <w:t>TE13</w:t>
            </w:r>
          </w:p>
        </w:tc>
        <w:tc>
          <w:tcPr>
            <w:tcW w:w="2367" w:type="pct"/>
            <w:tcBorders>
              <w:top w:val="single" w:color="auto" w:sz="4" w:space="0"/>
              <w:left w:val="single" w:color="auto" w:sz="4" w:space="0"/>
              <w:bottom w:val="single" w:color="auto" w:sz="4" w:space="0"/>
              <w:right w:val="single" w:color="auto" w:sz="4" w:space="0"/>
            </w:tcBorders>
            <w:shd w:val="clear" w:color="auto" w:fill="auto"/>
            <w:vAlign w:val="center"/>
          </w:tcPr>
          <w:p w14:paraId="1B73827F">
            <w:pPr>
              <w:jc w:val="both"/>
              <w:rPr>
                <w:rFonts w:ascii="楷体" w:hAnsi="楷体" w:eastAsia="楷体" w:cs="楷体"/>
                <w:sz w:val="24"/>
                <w:szCs w:val="24"/>
              </w:rPr>
            </w:pPr>
            <w:r>
              <w:rPr>
                <w:rFonts w:hint="eastAsia" w:ascii="楷体" w:hAnsi="楷体" w:eastAsia="楷体" w:cs="楷体"/>
                <w:sz w:val="24"/>
                <w:szCs w:val="24"/>
              </w:rPr>
              <w:t>未按规定要求停电、送电</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59563300">
            <w:pPr>
              <w:jc w:val="both"/>
              <w:rPr>
                <w:rFonts w:ascii="楷体" w:hAnsi="楷体" w:eastAsia="楷体" w:cs="楷体"/>
                <w:sz w:val="24"/>
                <w:szCs w:val="24"/>
              </w:rPr>
            </w:pPr>
            <w:r>
              <w:rPr>
                <w:rFonts w:hint="eastAsia" w:ascii="楷体" w:hAnsi="楷体" w:eastAsia="楷体" w:cs="楷体"/>
                <w:sz w:val="24"/>
                <w:szCs w:val="24"/>
              </w:rPr>
              <w:t>每处每次2000元</w:t>
            </w:r>
          </w:p>
        </w:tc>
        <w:tc>
          <w:tcPr>
            <w:tcW w:w="822" w:type="pct"/>
            <w:tcBorders>
              <w:top w:val="single" w:color="auto" w:sz="4" w:space="0"/>
              <w:left w:val="single" w:color="auto" w:sz="4" w:space="0"/>
              <w:bottom w:val="single" w:color="auto" w:sz="4" w:space="0"/>
              <w:right w:val="single" w:color="auto" w:sz="4" w:space="0"/>
            </w:tcBorders>
            <w:shd w:val="clear" w:color="auto" w:fill="auto"/>
            <w:vAlign w:val="center"/>
          </w:tcPr>
          <w:p w14:paraId="53145D80">
            <w:pPr>
              <w:jc w:val="both"/>
              <w:rPr>
                <w:rFonts w:ascii="楷体" w:hAnsi="楷体" w:eastAsia="楷体" w:cs="楷体"/>
                <w:sz w:val="24"/>
                <w:szCs w:val="24"/>
              </w:rPr>
            </w:pPr>
          </w:p>
        </w:tc>
      </w:tr>
      <w:tr w14:paraId="39561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561" w:type="pct"/>
            <w:tcBorders>
              <w:top w:val="single" w:color="auto" w:sz="4" w:space="0"/>
              <w:left w:val="single" w:color="auto" w:sz="4" w:space="0"/>
              <w:bottom w:val="single" w:color="auto" w:sz="4" w:space="0"/>
              <w:right w:val="single" w:color="auto" w:sz="4" w:space="0"/>
            </w:tcBorders>
            <w:shd w:val="clear" w:color="auto" w:fill="auto"/>
            <w:vAlign w:val="center"/>
          </w:tcPr>
          <w:p w14:paraId="10E39E3B">
            <w:pPr>
              <w:jc w:val="both"/>
              <w:rPr>
                <w:rFonts w:ascii="楷体" w:hAnsi="楷体" w:eastAsia="楷体" w:cs="楷体"/>
                <w:sz w:val="24"/>
                <w:szCs w:val="24"/>
              </w:rPr>
            </w:pPr>
            <w:r>
              <w:rPr>
                <w:rFonts w:hint="eastAsia" w:ascii="楷体" w:hAnsi="楷体" w:eastAsia="楷体" w:cs="楷体"/>
                <w:sz w:val="24"/>
                <w:szCs w:val="24"/>
              </w:rPr>
              <w:t>TE14</w:t>
            </w:r>
          </w:p>
        </w:tc>
        <w:tc>
          <w:tcPr>
            <w:tcW w:w="2367" w:type="pct"/>
            <w:tcBorders>
              <w:top w:val="single" w:color="auto" w:sz="4" w:space="0"/>
              <w:left w:val="single" w:color="auto" w:sz="4" w:space="0"/>
              <w:bottom w:val="single" w:color="auto" w:sz="4" w:space="0"/>
              <w:right w:val="single" w:color="auto" w:sz="4" w:space="0"/>
            </w:tcBorders>
            <w:shd w:val="clear" w:color="auto" w:fill="auto"/>
            <w:vAlign w:val="center"/>
          </w:tcPr>
          <w:p w14:paraId="3F6B8CAD">
            <w:pPr>
              <w:jc w:val="both"/>
              <w:rPr>
                <w:rFonts w:ascii="楷体" w:hAnsi="楷体" w:eastAsia="楷体" w:cs="楷体"/>
                <w:sz w:val="24"/>
                <w:szCs w:val="24"/>
              </w:rPr>
            </w:pPr>
            <w:r>
              <w:rPr>
                <w:rFonts w:hint="eastAsia" w:ascii="楷体" w:hAnsi="楷体" w:eastAsia="楷体" w:cs="楷体"/>
                <w:sz w:val="24"/>
                <w:szCs w:val="24"/>
              </w:rPr>
              <w:t>其他不符合相关规范的情形</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08C56061">
            <w:pPr>
              <w:jc w:val="both"/>
              <w:rPr>
                <w:rFonts w:ascii="楷体" w:hAnsi="楷体" w:eastAsia="楷体" w:cs="楷体"/>
                <w:sz w:val="24"/>
                <w:szCs w:val="24"/>
              </w:rPr>
            </w:pPr>
            <w:r>
              <w:rPr>
                <w:rFonts w:hint="eastAsia" w:ascii="楷体" w:hAnsi="楷体" w:eastAsia="楷体" w:cs="楷体"/>
                <w:sz w:val="24"/>
                <w:szCs w:val="24"/>
              </w:rPr>
              <w:t>每处每次500-5000元</w:t>
            </w:r>
          </w:p>
        </w:tc>
        <w:tc>
          <w:tcPr>
            <w:tcW w:w="822" w:type="pct"/>
            <w:tcBorders>
              <w:top w:val="single" w:color="auto" w:sz="4" w:space="0"/>
              <w:left w:val="single" w:color="auto" w:sz="4" w:space="0"/>
              <w:bottom w:val="single" w:color="auto" w:sz="4" w:space="0"/>
              <w:right w:val="single" w:color="auto" w:sz="4" w:space="0"/>
            </w:tcBorders>
            <w:shd w:val="clear" w:color="auto" w:fill="auto"/>
            <w:vAlign w:val="center"/>
          </w:tcPr>
          <w:p w14:paraId="69786BCA">
            <w:pPr>
              <w:jc w:val="both"/>
              <w:rPr>
                <w:rFonts w:ascii="楷体" w:hAnsi="楷体" w:eastAsia="楷体" w:cs="楷体"/>
                <w:sz w:val="24"/>
                <w:szCs w:val="24"/>
              </w:rPr>
            </w:pPr>
          </w:p>
        </w:tc>
      </w:tr>
    </w:tbl>
    <w:p w14:paraId="393EDEC0">
      <w:pPr>
        <w:pStyle w:val="2"/>
        <w:ind w:firstLine="480"/>
        <w:rPr>
          <w:rFonts w:ascii="楷体" w:hAnsi="楷体" w:eastAsia="楷体" w:cs="楷体"/>
          <w:bCs/>
          <w:sz w:val="24"/>
          <w:szCs w:val="24"/>
        </w:rPr>
      </w:pPr>
      <w:r>
        <w:rPr>
          <w:rFonts w:hint="eastAsia" w:ascii="楷体" w:hAnsi="楷体" w:eastAsia="楷体" w:cs="楷体"/>
          <w:bCs/>
          <w:sz w:val="24"/>
          <w:szCs w:val="24"/>
          <w:lang w:bidi="ar"/>
        </w:rPr>
        <w:t>4.7.5 高处作业管理</w:t>
      </w:r>
    </w:p>
    <w:tbl>
      <w:tblPr>
        <w:tblStyle w:val="1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8"/>
        <w:gridCol w:w="4573"/>
        <w:gridCol w:w="2699"/>
        <w:gridCol w:w="983"/>
      </w:tblGrid>
      <w:tr w14:paraId="798A4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471" w:type="pct"/>
            <w:tcBorders>
              <w:top w:val="single" w:color="auto" w:sz="4" w:space="0"/>
              <w:left w:val="single" w:color="auto" w:sz="4" w:space="0"/>
              <w:bottom w:val="single" w:color="auto" w:sz="4" w:space="0"/>
              <w:right w:val="single" w:color="auto" w:sz="4" w:space="0"/>
            </w:tcBorders>
            <w:shd w:val="clear" w:color="auto" w:fill="auto"/>
            <w:vAlign w:val="center"/>
          </w:tcPr>
          <w:p w14:paraId="01CC27D0">
            <w:pPr>
              <w:rPr>
                <w:rFonts w:ascii="楷体" w:hAnsi="楷体" w:eastAsia="楷体" w:cs="楷体"/>
                <w:sz w:val="24"/>
                <w:szCs w:val="24"/>
              </w:rPr>
            </w:pPr>
            <w:r>
              <w:rPr>
                <w:rFonts w:hint="eastAsia" w:ascii="楷体" w:hAnsi="楷体" w:eastAsia="楷体" w:cs="楷体"/>
                <w:sz w:val="24"/>
                <w:szCs w:val="24"/>
              </w:rPr>
              <w:t>序号</w:t>
            </w:r>
          </w:p>
        </w:tc>
        <w:tc>
          <w:tcPr>
            <w:tcW w:w="2508" w:type="pct"/>
            <w:tcBorders>
              <w:top w:val="single" w:color="auto" w:sz="4" w:space="0"/>
              <w:left w:val="single" w:color="auto" w:sz="4" w:space="0"/>
              <w:bottom w:val="single" w:color="auto" w:sz="4" w:space="0"/>
              <w:right w:val="single" w:color="auto" w:sz="4" w:space="0"/>
            </w:tcBorders>
            <w:shd w:val="clear" w:color="auto" w:fill="auto"/>
            <w:vAlign w:val="center"/>
          </w:tcPr>
          <w:p w14:paraId="5BACC9B8">
            <w:pPr>
              <w:rPr>
                <w:rFonts w:ascii="楷体" w:hAnsi="楷体" w:eastAsia="楷体" w:cs="楷体"/>
                <w:sz w:val="24"/>
                <w:szCs w:val="24"/>
              </w:rPr>
            </w:pPr>
            <w:r>
              <w:rPr>
                <w:rFonts w:hint="eastAsia" w:ascii="楷体" w:hAnsi="楷体" w:eastAsia="楷体" w:cs="楷体"/>
                <w:sz w:val="24"/>
                <w:szCs w:val="24"/>
              </w:rPr>
              <w:t>违章内容</w:t>
            </w:r>
          </w:p>
        </w:tc>
        <w:tc>
          <w:tcPr>
            <w:tcW w:w="1480" w:type="pct"/>
            <w:tcBorders>
              <w:top w:val="single" w:color="auto" w:sz="4" w:space="0"/>
              <w:left w:val="single" w:color="auto" w:sz="4" w:space="0"/>
              <w:bottom w:val="single" w:color="auto" w:sz="4" w:space="0"/>
              <w:right w:val="single" w:color="auto" w:sz="4" w:space="0"/>
            </w:tcBorders>
            <w:shd w:val="clear" w:color="auto" w:fill="auto"/>
            <w:vAlign w:val="center"/>
          </w:tcPr>
          <w:p w14:paraId="37B3B73B">
            <w:pPr>
              <w:rPr>
                <w:rFonts w:ascii="楷体" w:hAnsi="楷体" w:eastAsia="楷体" w:cs="楷体"/>
                <w:sz w:val="24"/>
                <w:szCs w:val="24"/>
              </w:rPr>
            </w:pPr>
            <w:r>
              <w:rPr>
                <w:rFonts w:hint="eastAsia" w:ascii="楷体" w:hAnsi="楷体" w:eastAsia="楷体" w:cs="楷体"/>
                <w:sz w:val="24"/>
                <w:szCs w:val="24"/>
              </w:rPr>
              <w:t>罚款金额</w:t>
            </w:r>
          </w:p>
        </w:tc>
        <w:tc>
          <w:tcPr>
            <w:tcW w:w="539" w:type="pct"/>
            <w:tcBorders>
              <w:top w:val="single" w:color="auto" w:sz="4" w:space="0"/>
              <w:left w:val="single" w:color="auto" w:sz="4" w:space="0"/>
              <w:bottom w:val="single" w:color="auto" w:sz="4" w:space="0"/>
              <w:right w:val="single" w:color="auto" w:sz="4" w:space="0"/>
            </w:tcBorders>
            <w:shd w:val="clear" w:color="auto" w:fill="auto"/>
            <w:vAlign w:val="center"/>
          </w:tcPr>
          <w:p w14:paraId="41C0EBDC">
            <w:pPr>
              <w:rPr>
                <w:rFonts w:ascii="楷体" w:hAnsi="楷体" w:eastAsia="楷体" w:cs="楷体"/>
                <w:sz w:val="24"/>
                <w:szCs w:val="24"/>
              </w:rPr>
            </w:pPr>
            <w:r>
              <w:rPr>
                <w:rFonts w:hint="eastAsia" w:ascii="楷体" w:hAnsi="楷体" w:eastAsia="楷体" w:cs="楷体"/>
                <w:sz w:val="24"/>
                <w:szCs w:val="24"/>
              </w:rPr>
              <w:t>备注</w:t>
            </w:r>
          </w:p>
        </w:tc>
      </w:tr>
      <w:tr w14:paraId="5ECE9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471" w:type="pct"/>
            <w:tcBorders>
              <w:top w:val="single" w:color="auto" w:sz="4" w:space="0"/>
              <w:left w:val="single" w:color="auto" w:sz="4" w:space="0"/>
              <w:bottom w:val="single" w:color="auto" w:sz="4" w:space="0"/>
              <w:right w:val="single" w:color="auto" w:sz="4" w:space="0"/>
            </w:tcBorders>
            <w:shd w:val="clear" w:color="auto" w:fill="auto"/>
            <w:vAlign w:val="center"/>
          </w:tcPr>
          <w:p w14:paraId="6FF8EC0A">
            <w:pPr>
              <w:rPr>
                <w:rFonts w:ascii="楷体" w:hAnsi="楷体" w:eastAsia="楷体" w:cs="楷体"/>
                <w:sz w:val="24"/>
                <w:szCs w:val="24"/>
              </w:rPr>
            </w:pPr>
            <w:r>
              <w:rPr>
                <w:rFonts w:hint="eastAsia" w:ascii="楷体" w:hAnsi="楷体" w:eastAsia="楷体" w:cs="楷体"/>
                <w:sz w:val="24"/>
                <w:szCs w:val="24"/>
              </w:rPr>
              <w:t>WH01</w:t>
            </w:r>
          </w:p>
        </w:tc>
        <w:tc>
          <w:tcPr>
            <w:tcW w:w="2508" w:type="pct"/>
            <w:tcBorders>
              <w:top w:val="single" w:color="auto" w:sz="4" w:space="0"/>
              <w:left w:val="single" w:color="auto" w:sz="4" w:space="0"/>
              <w:bottom w:val="single" w:color="auto" w:sz="4" w:space="0"/>
              <w:right w:val="single" w:color="auto" w:sz="4" w:space="0"/>
            </w:tcBorders>
            <w:shd w:val="clear" w:color="auto" w:fill="auto"/>
            <w:vAlign w:val="center"/>
          </w:tcPr>
          <w:p w14:paraId="10939EF3">
            <w:pPr>
              <w:rPr>
                <w:rFonts w:ascii="楷体" w:hAnsi="楷体" w:eastAsia="楷体" w:cs="楷体"/>
                <w:sz w:val="24"/>
                <w:szCs w:val="24"/>
              </w:rPr>
            </w:pPr>
            <w:r>
              <w:rPr>
                <w:rFonts w:hint="eastAsia" w:ascii="楷体" w:hAnsi="楷体" w:eastAsia="楷体" w:cs="楷体"/>
                <w:sz w:val="24"/>
                <w:szCs w:val="24"/>
              </w:rPr>
              <w:t>临边、洞口未按规定要求做好安全防护</w:t>
            </w:r>
          </w:p>
        </w:tc>
        <w:tc>
          <w:tcPr>
            <w:tcW w:w="1480" w:type="pct"/>
            <w:tcBorders>
              <w:top w:val="single" w:color="auto" w:sz="4" w:space="0"/>
              <w:left w:val="single" w:color="auto" w:sz="4" w:space="0"/>
              <w:bottom w:val="single" w:color="auto" w:sz="4" w:space="0"/>
              <w:right w:val="single" w:color="auto" w:sz="4" w:space="0"/>
            </w:tcBorders>
            <w:shd w:val="clear" w:color="auto" w:fill="auto"/>
            <w:vAlign w:val="center"/>
          </w:tcPr>
          <w:p w14:paraId="54C0214A">
            <w:pPr>
              <w:rPr>
                <w:rFonts w:ascii="楷体" w:hAnsi="楷体" w:eastAsia="楷体" w:cs="楷体"/>
                <w:sz w:val="24"/>
                <w:szCs w:val="24"/>
              </w:rPr>
            </w:pPr>
            <w:r>
              <w:rPr>
                <w:rFonts w:hint="eastAsia" w:ascii="楷体" w:hAnsi="楷体" w:eastAsia="楷体" w:cs="楷体"/>
                <w:sz w:val="24"/>
                <w:szCs w:val="24"/>
              </w:rPr>
              <w:t>每处每次1000-30000元</w:t>
            </w:r>
          </w:p>
        </w:tc>
        <w:tc>
          <w:tcPr>
            <w:tcW w:w="539" w:type="pct"/>
            <w:tcBorders>
              <w:top w:val="single" w:color="auto" w:sz="4" w:space="0"/>
              <w:left w:val="single" w:color="auto" w:sz="4" w:space="0"/>
              <w:bottom w:val="single" w:color="auto" w:sz="4" w:space="0"/>
              <w:right w:val="single" w:color="auto" w:sz="4" w:space="0"/>
            </w:tcBorders>
            <w:shd w:val="clear" w:color="auto" w:fill="auto"/>
            <w:vAlign w:val="center"/>
          </w:tcPr>
          <w:p w14:paraId="68ED3870">
            <w:pPr>
              <w:rPr>
                <w:rFonts w:ascii="楷体" w:hAnsi="楷体" w:eastAsia="楷体" w:cs="楷体"/>
                <w:sz w:val="24"/>
                <w:szCs w:val="24"/>
              </w:rPr>
            </w:pPr>
          </w:p>
        </w:tc>
      </w:tr>
      <w:tr w14:paraId="05459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471" w:type="pct"/>
            <w:tcBorders>
              <w:top w:val="single" w:color="auto" w:sz="4" w:space="0"/>
              <w:left w:val="single" w:color="auto" w:sz="4" w:space="0"/>
              <w:bottom w:val="single" w:color="auto" w:sz="4" w:space="0"/>
              <w:right w:val="single" w:color="auto" w:sz="4" w:space="0"/>
            </w:tcBorders>
            <w:shd w:val="clear" w:color="auto" w:fill="auto"/>
            <w:vAlign w:val="center"/>
          </w:tcPr>
          <w:p w14:paraId="0CA66BD0">
            <w:pPr>
              <w:rPr>
                <w:rFonts w:ascii="楷体" w:hAnsi="楷体" w:eastAsia="楷体" w:cs="楷体"/>
                <w:sz w:val="24"/>
                <w:szCs w:val="24"/>
              </w:rPr>
            </w:pPr>
            <w:r>
              <w:rPr>
                <w:rFonts w:hint="eastAsia" w:ascii="楷体" w:hAnsi="楷体" w:eastAsia="楷体" w:cs="楷体"/>
                <w:sz w:val="24"/>
                <w:szCs w:val="24"/>
              </w:rPr>
              <w:t>WH02</w:t>
            </w:r>
          </w:p>
        </w:tc>
        <w:tc>
          <w:tcPr>
            <w:tcW w:w="2508" w:type="pct"/>
            <w:tcBorders>
              <w:top w:val="single" w:color="auto" w:sz="4" w:space="0"/>
              <w:left w:val="single" w:color="auto" w:sz="4" w:space="0"/>
              <w:bottom w:val="single" w:color="auto" w:sz="4" w:space="0"/>
              <w:right w:val="single" w:color="auto" w:sz="4" w:space="0"/>
            </w:tcBorders>
            <w:shd w:val="clear" w:color="auto" w:fill="auto"/>
            <w:vAlign w:val="center"/>
          </w:tcPr>
          <w:p w14:paraId="0EC76685">
            <w:pPr>
              <w:rPr>
                <w:rFonts w:ascii="楷体" w:hAnsi="楷体" w:eastAsia="楷体" w:cs="楷体"/>
                <w:sz w:val="24"/>
                <w:szCs w:val="24"/>
              </w:rPr>
            </w:pPr>
            <w:r>
              <w:rPr>
                <w:rFonts w:hint="eastAsia" w:ascii="楷体" w:hAnsi="楷体" w:eastAsia="楷体" w:cs="楷体"/>
                <w:sz w:val="24"/>
                <w:szCs w:val="24"/>
              </w:rPr>
              <w:t>高处作业人员未佩戴安全带或无其他可靠措施</w:t>
            </w:r>
          </w:p>
        </w:tc>
        <w:tc>
          <w:tcPr>
            <w:tcW w:w="1480" w:type="pct"/>
            <w:tcBorders>
              <w:top w:val="single" w:color="auto" w:sz="4" w:space="0"/>
              <w:left w:val="single" w:color="auto" w:sz="4" w:space="0"/>
              <w:bottom w:val="single" w:color="auto" w:sz="4" w:space="0"/>
              <w:right w:val="single" w:color="auto" w:sz="4" w:space="0"/>
            </w:tcBorders>
            <w:shd w:val="clear" w:color="auto" w:fill="auto"/>
            <w:vAlign w:val="center"/>
          </w:tcPr>
          <w:p w14:paraId="4FC26E30">
            <w:pPr>
              <w:rPr>
                <w:rFonts w:ascii="楷体" w:hAnsi="楷体" w:eastAsia="楷体" w:cs="楷体"/>
                <w:sz w:val="24"/>
                <w:szCs w:val="24"/>
              </w:rPr>
            </w:pPr>
            <w:r>
              <w:rPr>
                <w:rFonts w:hint="eastAsia" w:ascii="楷体" w:hAnsi="楷体" w:eastAsia="楷体" w:cs="楷体"/>
                <w:sz w:val="24"/>
                <w:szCs w:val="24"/>
              </w:rPr>
              <w:t>每人每次1000元</w:t>
            </w:r>
          </w:p>
        </w:tc>
        <w:tc>
          <w:tcPr>
            <w:tcW w:w="539" w:type="pct"/>
            <w:tcBorders>
              <w:top w:val="single" w:color="auto" w:sz="4" w:space="0"/>
              <w:left w:val="single" w:color="auto" w:sz="4" w:space="0"/>
              <w:bottom w:val="single" w:color="auto" w:sz="4" w:space="0"/>
              <w:right w:val="single" w:color="auto" w:sz="4" w:space="0"/>
            </w:tcBorders>
            <w:shd w:val="clear" w:color="auto" w:fill="auto"/>
            <w:vAlign w:val="center"/>
          </w:tcPr>
          <w:p w14:paraId="76ACC9B6">
            <w:pPr>
              <w:rPr>
                <w:rFonts w:ascii="楷体" w:hAnsi="楷体" w:eastAsia="楷体" w:cs="楷体"/>
                <w:sz w:val="24"/>
                <w:szCs w:val="24"/>
              </w:rPr>
            </w:pPr>
          </w:p>
        </w:tc>
      </w:tr>
      <w:tr w14:paraId="2C232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471" w:type="pct"/>
            <w:tcBorders>
              <w:top w:val="single" w:color="auto" w:sz="4" w:space="0"/>
              <w:left w:val="single" w:color="auto" w:sz="4" w:space="0"/>
              <w:bottom w:val="single" w:color="auto" w:sz="4" w:space="0"/>
              <w:right w:val="single" w:color="auto" w:sz="4" w:space="0"/>
            </w:tcBorders>
            <w:shd w:val="clear" w:color="auto" w:fill="auto"/>
            <w:vAlign w:val="center"/>
          </w:tcPr>
          <w:p w14:paraId="3B5F1508">
            <w:pPr>
              <w:rPr>
                <w:rFonts w:ascii="楷体" w:hAnsi="楷体" w:eastAsia="楷体" w:cs="楷体"/>
                <w:sz w:val="24"/>
                <w:szCs w:val="24"/>
              </w:rPr>
            </w:pPr>
            <w:r>
              <w:rPr>
                <w:rFonts w:hint="eastAsia" w:ascii="楷体" w:hAnsi="楷体" w:eastAsia="楷体" w:cs="楷体"/>
                <w:sz w:val="24"/>
                <w:szCs w:val="24"/>
              </w:rPr>
              <w:t>WH03</w:t>
            </w:r>
          </w:p>
        </w:tc>
        <w:tc>
          <w:tcPr>
            <w:tcW w:w="2508" w:type="pct"/>
            <w:tcBorders>
              <w:top w:val="single" w:color="auto" w:sz="4" w:space="0"/>
              <w:left w:val="single" w:color="auto" w:sz="4" w:space="0"/>
              <w:bottom w:val="single" w:color="auto" w:sz="4" w:space="0"/>
              <w:right w:val="single" w:color="auto" w:sz="4" w:space="0"/>
            </w:tcBorders>
            <w:shd w:val="clear" w:color="auto" w:fill="auto"/>
            <w:vAlign w:val="center"/>
          </w:tcPr>
          <w:p w14:paraId="7BEF2C81">
            <w:pPr>
              <w:rPr>
                <w:rFonts w:ascii="楷体" w:hAnsi="楷体" w:eastAsia="楷体" w:cs="楷体"/>
                <w:sz w:val="24"/>
                <w:szCs w:val="24"/>
              </w:rPr>
            </w:pPr>
            <w:r>
              <w:rPr>
                <w:rFonts w:hint="eastAsia" w:ascii="楷体" w:hAnsi="楷体" w:eastAsia="楷体" w:cs="楷体"/>
                <w:sz w:val="24"/>
                <w:szCs w:val="24"/>
              </w:rPr>
              <w:t>临时性构筑物未规定做好安全防砸防护</w:t>
            </w:r>
          </w:p>
        </w:tc>
        <w:tc>
          <w:tcPr>
            <w:tcW w:w="1480" w:type="pct"/>
            <w:tcBorders>
              <w:top w:val="single" w:color="auto" w:sz="4" w:space="0"/>
              <w:left w:val="single" w:color="auto" w:sz="4" w:space="0"/>
              <w:bottom w:val="single" w:color="auto" w:sz="4" w:space="0"/>
              <w:right w:val="single" w:color="auto" w:sz="4" w:space="0"/>
            </w:tcBorders>
            <w:shd w:val="clear" w:color="auto" w:fill="auto"/>
            <w:vAlign w:val="center"/>
          </w:tcPr>
          <w:p w14:paraId="08DF7194">
            <w:pPr>
              <w:rPr>
                <w:rFonts w:ascii="楷体" w:hAnsi="楷体" w:eastAsia="楷体" w:cs="楷体"/>
                <w:sz w:val="24"/>
                <w:szCs w:val="24"/>
              </w:rPr>
            </w:pPr>
            <w:r>
              <w:rPr>
                <w:rFonts w:hint="eastAsia" w:ascii="楷体" w:hAnsi="楷体" w:eastAsia="楷体" w:cs="楷体"/>
                <w:sz w:val="24"/>
                <w:szCs w:val="24"/>
              </w:rPr>
              <w:t>每处每次5000元</w:t>
            </w:r>
          </w:p>
        </w:tc>
        <w:tc>
          <w:tcPr>
            <w:tcW w:w="539" w:type="pct"/>
            <w:tcBorders>
              <w:top w:val="single" w:color="auto" w:sz="4" w:space="0"/>
              <w:left w:val="single" w:color="auto" w:sz="4" w:space="0"/>
              <w:bottom w:val="single" w:color="auto" w:sz="4" w:space="0"/>
              <w:right w:val="single" w:color="auto" w:sz="4" w:space="0"/>
            </w:tcBorders>
            <w:shd w:val="clear" w:color="auto" w:fill="auto"/>
            <w:vAlign w:val="center"/>
          </w:tcPr>
          <w:p w14:paraId="0CE7F9DD">
            <w:pPr>
              <w:rPr>
                <w:rFonts w:ascii="楷体" w:hAnsi="楷体" w:eastAsia="楷体" w:cs="楷体"/>
                <w:sz w:val="24"/>
                <w:szCs w:val="24"/>
              </w:rPr>
            </w:pPr>
          </w:p>
        </w:tc>
      </w:tr>
      <w:tr w14:paraId="73CAB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471" w:type="pct"/>
            <w:tcBorders>
              <w:top w:val="single" w:color="auto" w:sz="4" w:space="0"/>
              <w:left w:val="single" w:color="auto" w:sz="4" w:space="0"/>
              <w:bottom w:val="single" w:color="auto" w:sz="4" w:space="0"/>
              <w:right w:val="single" w:color="auto" w:sz="4" w:space="0"/>
            </w:tcBorders>
            <w:shd w:val="clear" w:color="auto" w:fill="auto"/>
            <w:vAlign w:val="center"/>
          </w:tcPr>
          <w:p w14:paraId="048D923B">
            <w:pPr>
              <w:rPr>
                <w:rFonts w:ascii="楷体" w:hAnsi="楷体" w:eastAsia="楷体" w:cs="楷体"/>
                <w:sz w:val="24"/>
                <w:szCs w:val="24"/>
              </w:rPr>
            </w:pPr>
            <w:r>
              <w:rPr>
                <w:rFonts w:hint="eastAsia" w:ascii="楷体" w:hAnsi="楷体" w:eastAsia="楷体" w:cs="楷体"/>
                <w:sz w:val="24"/>
                <w:szCs w:val="24"/>
              </w:rPr>
              <w:t>WH04</w:t>
            </w:r>
          </w:p>
        </w:tc>
        <w:tc>
          <w:tcPr>
            <w:tcW w:w="2508" w:type="pct"/>
            <w:tcBorders>
              <w:top w:val="single" w:color="auto" w:sz="4" w:space="0"/>
              <w:left w:val="single" w:color="auto" w:sz="4" w:space="0"/>
              <w:bottom w:val="single" w:color="auto" w:sz="4" w:space="0"/>
              <w:right w:val="single" w:color="auto" w:sz="4" w:space="0"/>
            </w:tcBorders>
            <w:shd w:val="clear" w:color="auto" w:fill="auto"/>
            <w:vAlign w:val="center"/>
          </w:tcPr>
          <w:p w14:paraId="7265A60C">
            <w:pPr>
              <w:rPr>
                <w:rFonts w:ascii="楷体" w:hAnsi="楷体" w:eastAsia="楷体" w:cs="楷体"/>
                <w:sz w:val="24"/>
                <w:szCs w:val="24"/>
              </w:rPr>
            </w:pPr>
            <w:r>
              <w:rPr>
                <w:rFonts w:hint="eastAsia" w:ascii="楷体" w:hAnsi="楷体" w:eastAsia="楷体" w:cs="楷体"/>
                <w:sz w:val="24"/>
                <w:szCs w:val="24"/>
              </w:rPr>
              <w:t>未按照施工方案落实高坠安全防护措施</w:t>
            </w:r>
          </w:p>
        </w:tc>
        <w:tc>
          <w:tcPr>
            <w:tcW w:w="1480" w:type="pct"/>
            <w:tcBorders>
              <w:top w:val="single" w:color="auto" w:sz="4" w:space="0"/>
              <w:left w:val="single" w:color="auto" w:sz="4" w:space="0"/>
              <w:bottom w:val="single" w:color="auto" w:sz="4" w:space="0"/>
              <w:right w:val="single" w:color="auto" w:sz="4" w:space="0"/>
            </w:tcBorders>
            <w:shd w:val="clear" w:color="auto" w:fill="auto"/>
            <w:vAlign w:val="center"/>
          </w:tcPr>
          <w:p w14:paraId="65495EA9">
            <w:pPr>
              <w:rPr>
                <w:rFonts w:ascii="楷体" w:hAnsi="楷体" w:eastAsia="楷体" w:cs="楷体"/>
                <w:sz w:val="24"/>
                <w:szCs w:val="24"/>
              </w:rPr>
            </w:pPr>
            <w:r>
              <w:rPr>
                <w:rFonts w:hint="eastAsia" w:ascii="楷体" w:hAnsi="楷体" w:eastAsia="楷体" w:cs="楷体"/>
                <w:sz w:val="24"/>
                <w:szCs w:val="24"/>
              </w:rPr>
              <w:t>每处每次10000元</w:t>
            </w:r>
          </w:p>
        </w:tc>
        <w:tc>
          <w:tcPr>
            <w:tcW w:w="539" w:type="pct"/>
            <w:tcBorders>
              <w:top w:val="single" w:color="auto" w:sz="4" w:space="0"/>
              <w:left w:val="single" w:color="auto" w:sz="4" w:space="0"/>
              <w:bottom w:val="single" w:color="auto" w:sz="4" w:space="0"/>
              <w:right w:val="single" w:color="auto" w:sz="4" w:space="0"/>
            </w:tcBorders>
            <w:shd w:val="clear" w:color="auto" w:fill="auto"/>
            <w:vAlign w:val="center"/>
          </w:tcPr>
          <w:p w14:paraId="76245AE5">
            <w:pPr>
              <w:rPr>
                <w:rFonts w:ascii="楷体" w:hAnsi="楷体" w:eastAsia="楷体" w:cs="楷体"/>
                <w:sz w:val="24"/>
                <w:szCs w:val="24"/>
              </w:rPr>
            </w:pPr>
            <w:r>
              <w:rPr>
                <w:rFonts w:hint="eastAsia" w:ascii="楷体" w:hAnsi="楷体" w:eastAsia="楷体" w:cs="楷体"/>
                <w:sz w:val="24"/>
                <w:szCs w:val="24"/>
              </w:rPr>
              <w:t>停止施工</w:t>
            </w:r>
          </w:p>
        </w:tc>
      </w:tr>
      <w:tr w14:paraId="16723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471" w:type="pct"/>
            <w:tcBorders>
              <w:top w:val="single" w:color="auto" w:sz="4" w:space="0"/>
              <w:left w:val="single" w:color="auto" w:sz="4" w:space="0"/>
              <w:bottom w:val="single" w:color="auto" w:sz="4" w:space="0"/>
              <w:right w:val="single" w:color="auto" w:sz="4" w:space="0"/>
            </w:tcBorders>
            <w:shd w:val="clear" w:color="auto" w:fill="auto"/>
            <w:vAlign w:val="center"/>
          </w:tcPr>
          <w:p w14:paraId="1090E05E">
            <w:pPr>
              <w:rPr>
                <w:rFonts w:ascii="楷体" w:hAnsi="楷体" w:eastAsia="楷体" w:cs="楷体"/>
                <w:sz w:val="24"/>
                <w:szCs w:val="24"/>
              </w:rPr>
            </w:pPr>
            <w:r>
              <w:rPr>
                <w:rFonts w:hint="eastAsia" w:ascii="楷体" w:hAnsi="楷体" w:eastAsia="楷体" w:cs="楷体"/>
                <w:sz w:val="24"/>
                <w:szCs w:val="24"/>
              </w:rPr>
              <w:t>WH05</w:t>
            </w:r>
          </w:p>
        </w:tc>
        <w:tc>
          <w:tcPr>
            <w:tcW w:w="2508" w:type="pct"/>
            <w:tcBorders>
              <w:top w:val="single" w:color="auto" w:sz="4" w:space="0"/>
              <w:left w:val="single" w:color="auto" w:sz="4" w:space="0"/>
              <w:bottom w:val="single" w:color="auto" w:sz="4" w:space="0"/>
              <w:right w:val="single" w:color="auto" w:sz="4" w:space="0"/>
            </w:tcBorders>
            <w:shd w:val="clear" w:color="auto" w:fill="auto"/>
            <w:vAlign w:val="center"/>
          </w:tcPr>
          <w:p w14:paraId="22F17EA4">
            <w:pPr>
              <w:rPr>
                <w:rFonts w:ascii="楷体" w:hAnsi="楷体" w:eastAsia="楷体" w:cs="楷体"/>
                <w:sz w:val="24"/>
                <w:szCs w:val="24"/>
              </w:rPr>
            </w:pPr>
            <w:r>
              <w:rPr>
                <w:rFonts w:hint="eastAsia" w:ascii="楷体" w:hAnsi="楷体" w:eastAsia="楷体" w:cs="楷体"/>
                <w:sz w:val="24"/>
                <w:szCs w:val="24"/>
              </w:rPr>
              <w:t>私自拆除安全防护，未可靠防栌措施</w:t>
            </w:r>
          </w:p>
        </w:tc>
        <w:tc>
          <w:tcPr>
            <w:tcW w:w="1480" w:type="pct"/>
            <w:tcBorders>
              <w:top w:val="single" w:color="auto" w:sz="4" w:space="0"/>
              <w:left w:val="single" w:color="auto" w:sz="4" w:space="0"/>
              <w:bottom w:val="single" w:color="auto" w:sz="4" w:space="0"/>
              <w:right w:val="single" w:color="auto" w:sz="4" w:space="0"/>
            </w:tcBorders>
            <w:shd w:val="clear" w:color="auto" w:fill="auto"/>
            <w:vAlign w:val="center"/>
          </w:tcPr>
          <w:p w14:paraId="7A68363A">
            <w:pPr>
              <w:rPr>
                <w:rFonts w:ascii="楷体" w:hAnsi="楷体" w:eastAsia="楷体" w:cs="楷体"/>
                <w:sz w:val="24"/>
                <w:szCs w:val="24"/>
              </w:rPr>
            </w:pPr>
            <w:r>
              <w:rPr>
                <w:rFonts w:hint="eastAsia" w:ascii="楷体" w:hAnsi="楷体" w:eastAsia="楷体" w:cs="楷体"/>
                <w:sz w:val="24"/>
                <w:szCs w:val="24"/>
              </w:rPr>
              <w:t>每处每次1000元</w:t>
            </w:r>
          </w:p>
        </w:tc>
        <w:tc>
          <w:tcPr>
            <w:tcW w:w="539" w:type="pct"/>
            <w:tcBorders>
              <w:top w:val="single" w:color="auto" w:sz="4" w:space="0"/>
              <w:left w:val="single" w:color="auto" w:sz="4" w:space="0"/>
              <w:bottom w:val="single" w:color="auto" w:sz="4" w:space="0"/>
              <w:right w:val="single" w:color="auto" w:sz="4" w:space="0"/>
            </w:tcBorders>
            <w:shd w:val="clear" w:color="auto" w:fill="auto"/>
            <w:vAlign w:val="center"/>
          </w:tcPr>
          <w:p w14:paraId="090E50BF">
            <w:pPr>
              <w:rPr>
                <w:rFonts w:ascii="楷体" w:hAnsi="楷体" w:eastAsia="楷体" w:cs="楷体"/>
                <w:sz w:val="24"/>
                <w:szCs w:val="24"/>
              </w:rPr>
            </w:pPr>
          </w:p>
        </w:tc>
      </w:tr>
      <w:tr w14:paraId="5F1D7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471" w:type="pct"/>
            <w:tcBorders>
              <w:top w:val="single" w:color="auto" w:sz="4" w:space="0"/>
              <w:left w:val="single" w:color="auto" w:sz="4" w:space="0"/>
              <w:bottom w:val="single" w:color="auto" w:sz="4" w:space="0"/>
              <w:right w:val="single" w:color="auto" w:sz="4" w:space="0"/>
            </w:tcBorders>
            <w:shd w:val="clear" w:color="auto" w:fill="auto"/>
            <w:vAlign w:val="center"/>
          </w:tcPr>
          <w:p w14:paraId="040242C9">
            <w:pPr>
              <w:rPr>
                <w:rFonts w:ascii="楷体" w:hAnsi="楷体" w:eastAsia="楷体" w:cs="楷体"/>
                <w:sz w:val="24"/>
                <w:szCs w:val="24"/>
              </w:rPr>
            </w:pPr>
            <w:r>
              <w:rPr>
                <w:rFonts w:hint="eastAsia" w:ascii="楷体" w:hAnsi="楷体" w:eastAsia="楷体" w:cs="楷体"/>
                <w:sz w:val="24"/>
                <w:szCs w:val="24"/>
              </w:rPr>
              <w:t>WH06</w:t>
            </w:r>
          </w:p>
        </w:tc>
        <w:tc>
          <w:tcPr>
            <w:tcW w:w="2508" w:type="pct"/>
            <w:tcBorders>
              <w:top w:val="single" w:color="auto" w:sz="4" w:space="0"/>
              <w:left w:val="single" w:color="auto" w:sz="4" w:space="0"/>
              <w:bottom w:val="single" w:color="auto" w:sz="4" w:space="0"/>
              <w:right w:val="single" w:color="auto" w:sz="4" w:space="0"/>
            </w:tcBorders>
            <w:shd w:val="clear" w:color="auto" w:fill="auto"/>
            <w:vAlign w:val="center"/>
          </w:tcPr>
          <w:p w14:paraId="5F2A564E">
            <w:pPr>
              <w:rPr>
                <w:rFonts w:ascii="楷体" w:hAnsi="楷体" w:eastAsia="楷体" w:cs="楷体"/>
                <w:sz w:val="24"/>
                <w:szCs w:val="24"/>
              </w:rPr>
            </w:pPr>
            <w:r>
              <w:rPr>
                <w:rFonts w:hint="eastAsia" w:ascii="楷体" w:hAnsi="楷体" w:eastAsia="楷体" w:cs="楷体"/>
                <w:sz w:val="24"/>
                <w:szCs w:val="24"/>
              </w:rPr>
              <w:t>各型式登高设备不符合国家相关标准要求</w:t>
            </w:r>
          </w:p>
        </w:tc>
        <w:tc>
          <w:tcPr>
            <w:tcW w:w="1480" w:type="pct"/>
            <w:tcBorders>
              <w:top w:val="single" w:color="auto" w:sz="4" w:space="0"/>
              <w:left w:val="single" w:color="auto" w:sz="4" w:space="0"/>
              <w:bottom w:val="single" w:color="auto" w:sz="4" w:space="0"/>
              <w:right w:val="single" w:color="auto" w:sz="4" w:space="0"/>
            </w:tcBorders>
            <w:shd w:val="clear" w:color="auto" w:fill="auto"/>
            <w:vAlign w:val="center"/>
          </w:tcPr>
          <w:p w14:paraId="66677CB9">
            <w:pPr>
              <w:rPr>
                <w:rFonts w:ascii="楷体" w:hAnsi="楷体" w:eastAsia="楷体" w:cs="楷体"/>
                <w:sz w:val="24"/>
                <w:szCs w:val="24"/>
              </w:rPr>
            </w:pPr>
            <w:r>
              <w:rPr>
                <w:rFonts w:hint="eastAsia" w:ascii="楷体" w:hAnsi="楷体" w:eastAsia="楷体" w:cs="楷体"/>
                <w:sz w:val="24"/>
                <w:szCs w:val="24"/>
              </w:rPr>
              <w:t>每处每次2000元</w:t>
            </w:r>
          </w:p>
        </w:tc>
        <w:tc>
          <w:tcPr>
            <w:tcW w:w="539" w:type="pct"/>
            <w:tcBorders>
              <w:top w:val="single" w:color="auto" w:sz="4" w:space="0"/>
              <w:left w:val="single" w:color="auto" w:sz="4" w:space="0"/>
              <w:bottom w:val="single" w:color="auto" w:sz="4" w:space="0"/>
              <w:right w:val="single" w:color="auto" w:sz="4" w:space="0"/>
            </w:tcBorders>
            <w:shd w:val="clear" w:color="auto" w:fill="auto"/>
            <w:vAlign w:val="center"/>
          </w:tcPr>
          <w:p w14:paraId="237DB3E5">
            <w:pPr>
              <w:rPr>
                <w:rFonts w:ascii="楷体" w:hAnsi="楷体" w:eastAsia="楷体" w:cs="楷体"/>
                <w:sz w:val="24"/>
                <w:szCs w:val="24"/>
              </w:rPr>
            </w:pPr>
          </w:p>
        </w:tc>
      </w:tr>
      <w:tr w14:paraId="510F1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471" w:type="pct"/>
            <w:tcBorders>
              <w:top w:val="single" w:color="auto" w:sz="4" w:space="0"/>
              <w:left w:val="single" w:color="auto" w:sz="4" w:space="0"/>
              <w:bottom w:val="single" w:color="auto" w:sz="4" w:space="0"/>
              <w:right w:val="single" w:color="auto" w:sz="4" w:space="0"/>
            </w:tcBorders>
            <w:shd w:val="clear" w:color="auto" w:fill="auto"/>
            <w:vAlign w:val="center"/>
          </w:tcPr>
          <w:p w14:paraId="3B41FAF3">
            <w:pPr>
              <w:rPr>
                <w:rFonts w:ascii="楷体" w:hAnsi="楷体" w:eastAsia="楷体" w:cs="楷体"/>
                <w:sz w:val="24"/>
                <w:szCs w:val="24"/>
              </w:rPr>
            </w:pPr>
            <w:r>
              <w:rPr>
                <w:rFonts w:hint="eastAsia" w:ascii="楷体" w:hAnsi="楷体" w:eastAsia="楷体" w:cs="楷体"/>
                <w:sz w:val="24"/>
                <w:szCs w:val="24"/>
              </w:rPr>
              <w:t>WH07</w:t>
            </w:r>
          </w:p>
        </w:tc>
        <w:tc>
          <w:tcPr>
            <w:tcW w:w="2508" w:type="pct"/>
            <w:tcBorders>
              <w:top w:val="single" w:color="auto" w:sz="4" w:space="0"/>
              <w:left w:val="single" w:color="auto" w:sz="4" w:space="0"/>
              <w:bottom w:val="single" w:color="auto" w:sz="4" w:space="0"/>
              <w:right w:val="single" w:color="auto" w:sz="4" w:space="0"/>
            </w:tcBorders>
            <w:shd w:val="clear" w:color="auto" w:fill="auto"/>
            <w:vAlign w:val="center"/>
          </w:tcPr>
          <w:p w14:paraId="69F38534">
            <w:pPr>
              <w:rPr>
                <w:rFonts w:ascii="楷体" w:hAnsi="楷体" w:eastAsia="楷体" w:cs="楷体"/>
                <w:sz w:val="24"/>
                <w:szCs w:val="24"/>
              </w:rPr>
            </w:pPr>
            <w:r>
              <w:rPr>
                <w:rFonts w:hint="eastAsia" w:ascii="楷体" w:hAnsi="楷体" w:eastAsia="楷体" w:cs="楷体"/>
                <w:sz w:val="24"/>
                <w:szCs w:val="24"/>
              </w:rPr>
              <w:t>作业平面内有洞口、临边等或平台不可靠</w:t>
            </w:r>
          </w:p>
        </w:tc>
        <w:tc>
          <w:tcPr>
            <w:tcW w:w="1480" w:type="pct"/>
            <w:tcBorders>
              <w:top w:val="single" w:color="auto" w:sz="4" w:space="0"/>
              <w:left w:val="single" w:color="auto" w:sz="4" w:space="0"/>
              <w:bottom w:val="single" w:color="auto" w:sz="4" w:space="0"/>
              <w:right w:val="single" w:color="auto" w:sz="4" w:space="0"/>
            </w:tcBorders>
            <w:shd w:val="clear" w:color="auto" w:fill="auto"/>
            <w:vAlign w:val="center"/>
          </w:tcPr>
          <w:p w14:paraId="224E2A4B">
            <w:pPr>
              <w:rPr>
                <w:rFonts w:ascii="楷体" w:hAnsi="楷体" w:eastAsia="楷体" w:cs="楷体"/>
                <w:sz w:val="24"/>
                <w:szCs w:val="24"/>
              </w:rPr>
            </w:pPr>
            <w:r>
              <w:rPr>
                <w:rFonts w:hint="eastAsia" w:ascii="楷体" w:hAnsi="楷体" w:eastAsia="楷体" w:cs="楷体"/>
                <w:sz w:val="24"/>
                <w:szCs w:val="24"/>
              </w:rPr>
              <w:t>每处每次1000元</w:t>
            </w:r>
          </w:p>
        </w:tc>
        <w:tc>
          <w:tcPr>
            <w:tcW w:w="539" w:type="pct"/>
            <w:tcBorders>
              <w:top w:val="single" w:color="auto" w:sz="4" w:space="0"/>
              <w:left w:val="single" w:color="auto" w:sz="4" w:space="0"/>
              <w:bottom w:val="single" w:color="auto" w:sz="4" w:space="0"/>
              <w:right w:val="single" w:color="auto" w:sz="4" w:space="0"/>
            </w:tcBorders>
            <w:shd w:val="clear" w:color="auto" w:fill="auto"/>
            <w:vAlign w:val="center"/>
          </w:tcPr>
          <w:p w14:paraId="47F43EDE">
            <w:pPr>
              <w:rPr>
                <w:rFonts w:ascii="楷体" w:hAnsi="楷体" w:eastAsia="楷体" w:cs="楷体"/>
                <w:sz w:val="24"/>
                <w:szCs w:val="24"/>
              </w:rPr>
            </w:pPr>
          </w:p>
        </w:tc>
      </w:tr>
      <w:tr w14:paraId="2CA4E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471" w:type="pct"/>
            <w:tcBorders>
              <w:top w:val="single" w:color="auto" w:sz="4" w:space="0"/>
              <w:left w:val="single" w:color="auto" w:sz="4" w:space="0"/>
              <w:bottom w:val="single" w:color="auto" w:sz="4" w:space="0"/>
              <w:right w:val="single" w:color="auto" w:sz="4" w:space="0"/>
            </w:tcBorders>
            <w:shd w:val="clear" w:color="auto" w:fill="auto"/>
            <w:vAlign w:val="center"/>
          </w:tcPr>
          <w:p w14:paraId="46E16893">
            <w:pPr>
              <w:rPr>
                <w:rFonts w:ascii="楷体" w:hAnsi="楷体" w:eastAsia="楷体" w:cs="楷体"/>
                <w:sz w:val="24"/>
                <w:szCs w:val="24"/>
              </w:rPr>
            </w:pPr>
            <w:r>
              <w:rPr>
                <w:rFonts w:hint="eastAsia" w:ascii="楷体" w:hAnsi="楷体" w:eastAsia="楷体" w:cs="楷体"/>
                <w:sz w:val="24"/>
                <w:szCs w:val="24"/>
              </w:rPr>
              <w:t>WH08</w:t>
            </w:r>
          </w:p>
        </w:tc>
        <w:tc>
          <w:tcPr>
            <w:tcW w:w="2508" w:type="pct"/>
            <w:tcBorders>
              <w:top w:val="single" w:color="auto" w:sz="4" w:space="0"/>
              <w:left w:val="single" w:color="auto" w:sz="4" w:space="0"/>
              <w:bottom w:val="single" w:color="auto" w:sz="4" w:space="0"/>
              <w:right w:val="single" w:color="auto" w:sz="4" w:space="0"/>
            </w:tcBorders>
            <w:shd w:val="clear" w:color="auto" w:fill="auto"/>
            <w:vAlign w:val="center"/>
          </w:tcPr>
          <w:p w14:paraId="0AA9D187">
            <w:pPr>
              <w:rPr>
                <w:rFonts w:ascii="楷体" w:hAnsi="楷体" w:eastAsia="楷体" w:cs="楷体"/>
                <w:sz w:val="24"/>
                <w:szCs w:val="24"/>
              </w:rPr>
            </w:pPr>
            <w:r>
              <w:rPr>
                <w:rFonts w:hint="eastAsia" w:ascii="楷体" w:hAnsi="楷体" w:eastAsia="楷体" w:cs="楷体"/>
                <w:sz w:val="24"/>
                <w:szCs w:val="24"/>
              </w:rPr>
              <w:t>悬空上下未设置安全通道或可靠安全措施</w:t>
            </w:r>
          </w:p>
        </w:tc>
        <w:tc>
          <w:tcPr>
            <w:tcW w:w="1480" w:type="pct"/>
            <w:tcBorders>
              <w:top w:val="single" w:color="auto" w:sz="4" w:space="0"/>
              <w:left w:val="single" w:color="auto" w:sz="4" w:space="0"/>
              <w:bottom w:val="single" w:color="auto" w:sz="4" w:space="0"/>
              <w:right w:val="single" w:color="auto" w:sz="4" w:space="0"/>
            </w:tcBorders>
            <w:shd w:val="clear" w:color="auto" w:fill="auto"/>
            <w:vAlign w:val="center"/>
          </w:tcPr>
          <w:p w14:paraId="58F019CE">
            <w:pPr>
              <w:rPr>
                <w:rFonts w:ascii="楷体" w:hAnsi="楷体" w:eastAsia="楷体" w:cs="楷体"/>
                <w:sz w:val="24"/>
                <w:szCs w:val="24"/>
              </w:rPr>
            </w:pPr>
            <w:r>
              <w:rPr>
                <w:rFonts w:hint="eastAsia" w:ascii="楷体" w:hAnsi="楷体" w:eastAsia="楷体" w:cs="楷体"/>
                <w:sz w:val="24"/>
                <w:szCs w:val="24"/>
              </w:rPr>
              <w:t>每处每次2000元</w:t>
            </w:r>
          </w:p>
        </w:tc>
        <w:tc>
          <w:tcPr>
            <w:tcW w:w="539" w:type="pct"/>
            <w:tcBorders>
              <w:top w:val="single" w:color="auto" w:sz="4" w:space="0"/>
              <w:left w:val="single" w:color="auto" w:sz="4" w:space="0"/>
              <w:bottom w:val="single" w:color="auto" w:sz="4" w:space="0"/>
              <w:right w:val="single" w:color="auto" w:sz="4" w:space="0"/>
            </w:tcBorders>
            <w:shd w:val="clear" w:color="auto" w:fill="auto"/>
            <w:vAlign w:val="center"/>
          </w:tcPr>
          <w:p w14:paraId="63F0C1C2">
            <w:pPr>
              <w:rPr>
                <w:rFonts w:ascii="楷体" w:hAnsi="楷体" w:eastAsia="楷体" w:cs="楷体"/>
                <w:sz w:val="24"/>
                <w:szCs w:val="24"/>
              </w:rPr>
            </w:pPr>
          </w:p>
        </w:tc>
      </w:tr>
      <w:tr w14:paraId="6095D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71" w:type="pct"/>
            <w:tcBorders>
              <w:top w:val="single" w:color="auto" w:sz="4" w:space="0"/>
              <w:left w:val="single" w:color="auto" w:sz="4" w:space="0"/>
              <w:bottom w:val="single" w:color="auto" w:sz="4" w:space="0"/>
              <w:right w:val="single" w:color="auto" w:sz="4" w:space="0"/>
            </w:tcBorders>
            <w:shd w:val="clear" w:color="auto" w:fill="auto"/>
            <w:vAlign w:val="center"/>
          </w:tcPr>
          <w:p w14:paraId="75A912D7">
            <w:pPr>
              <w:rPr>
                <w:rFonts w:ascii="楷体" w:hAnsi="楷体" w:eastAsia="楷体" w:cs="楷体"/>
                <w:sz w:val="24"/>
                <w:szCs w:val="24"/>
              </w:rPr>
            </w:pPr>
            <w:r>
              <w:rPr>
                <w:rFonts w:hint="eastAsia" w:ascii="楷体" w:hAnsi="楷体" w:eastAsia="楷体" w:cs="楷体"/>
                <w:sz w:val="24"/>
                <w:szCs w:val="24"/>
              </w:rPr>
              <w:t>WH09</w:t>
            </w:r>
          </w:p>
        </w:tc>
        <w:tc>
          <w:tcPr>
            <w:tcW w:w="2508" w:type="pct"/>
            <w:tcBorders>
              <w:top w:val="single" w:color="auto" w:sz="4" w:space="0"/>
              <w:left w:val="single" w:color="auto" w:sz="4" w:space="0"/>
              <w:bottom w:val="single" w:color="auto" w:sz="4" w:space="0"/>
              <w:right w:val="single" w:color="auto" w:sz="4" w:space="0"/>
            </w:tcBorders>
            <w:shd w:val="clear" w:color="auto" w:fill="auto"/>
            <w:vAlign w:val="center"/>
          </w:tcPr>
          <w:p w14:paraId="2DC8EC69">
            <w:pPr>
              <w:rPr>
                <w:rFonts w:ascii="楷体" w:hAnsi="楷体" w:eastAsia="楷体" w:cs="楷体"/>
                <w:sz w:val="24"/>
                <w:szCs w:val="24"/>
              </w:rPr>
            </w:pPr>
            <w:r>
              <w:rPr>
                <w:rFonts w:hint="eastAsia" w:ascii="楷体" w:hAnsi="楷体" w:eastAsia="楷体" w:cs="楷体"/>
                <w:sz w:val="24"/>
                <w:szCs w:val="24"/>
              </w:rPr>
              <w:t>开洞开孔未经申请未制作安全防护</w:t>
            </w:r>
          </w:p>
        </w:tc>
        <w:tc>
          <w:tcPr>
            <w:tcW w:w="1480" w:type="pct"/>
            <w:tcBorders>
              <w:top w:val="single" w:color="auto" w:sz="4" w:space="0"/>
              <w:left w:val="single" w:color="auto" w:sz="4" w:space="0"/>
              <w:bottom w:val="single" w:color="auto" w:sz="4" w:space="0"/>
              <w:right w:val="single" w:color="auto" w:sz="4" w:space="0"/>
            </w:tcBorders>
            <w:shd w:val="clear" w:color="auto" w:fill="auto"/>
            <w:vAlign w:val="center"/>
          </w:tcPr>
          <w:p w14:paraId="789CB6C6">
            <w:pPr>
              <w:rPr>
                <w:rFonts w:ascii="楷体" w:hAnsi="楷体" w:eastAsia="楷体" w:cs="楷体"/>
                <w:sz w:val="24"/>
                <w:szCs w:val="24"/>
              </w:rPr>
            </w:pPr>
            <w:r>
              <w:rPr>
                <w:rFonts w:hint="eastAsia" w:ascii="楷体" w:hAnsi="楷体" w:eastAsia="楷体" w:cs="楷体"/>
                <w:sz w:val="24"/>
                <w:szCs w:val="24"/>
              </w:rPr>
              <w:t>每处每次5000元</w:t>
            </w:r>
          </w:p>
        </w:tc>
        <w:tc>
          <w:tcPr>
            <w:tcW w:w="539" w:type="pct"/>
            <w:tcBorders>
              <w:top w:val="single" w:color="auto" w:sz="4" w:space="0"/>
              <w:left w:val="single" w:color="auto" w:sz="4" w:space="0"/>
              <w:bottom w:val="single" w:color="auto" w:sz="4" w:space="0"/>
              <w:right w:val="single" w:color="auto" w:sz="4" w:space="0"/>
            </w:tcBorders>
            <w:shd w:val="clear" w:color="auto" w:fill="auto"/>
            <w:vAlign w:val="center"/>
          </w:tcPr>
          <w:p w14:paraId="7A85165D">
            <w:pPr>
              <w:rPr>
                <w:rFonts w:ascii="楷体" w:hAnsi="楷体" w:eastAsia="楷体" w:cs="楷体"/>
                <w:sz w:val="24"/>
                <w:szCs w:val="24"/>
              </w:rPr>
            </w:pPr>
          </w:p>
        </w:tc>
      </w:tr>
      <w:tr w14:paraId="086B8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471" w:type="pct"/>
            <w:tcBorders>
              <w:top w:val="single" w:color="auto" w:sz="4" w:space="0"/>
              <w:left w:val="single" w:color="auto" w:sz="4" w:space="0"/>
              <w:bottom w:val="single" w:color="auto" w:sz="4" w:space="0"/>
              <w:right w:val="single" w:color="auto" w:sz="4" w:space="0"/>
            </w:tcBorders>
            <w:shd w:val="clear" w:color="auto" w:fill="auto"/>
            <w:vAlign w:val="center"/>
          </w:tcPr>
          <w:p w14:paraId="5D78A602">
            <w:pPr>
              <w:rPr>
                <w:rFonts w:ascii="楷体" w:hAnsi="楷体" w:eastAsia="楷体" w:cs="楷体"/>
                <w:sz w:val="24"/>
                <w:szCs w:val="24"/>
              </w:rPr>
            </w:pPr>
            <w:r>
              <w:rPr>
                <w:rFonts w:hint="eastAsia" w:ascii="楷体" w:hAnsi="楷体" w:eastAsia="楷体" w:cs="楷体"/>
                <w:sz w:val="24"/>
                <w:szCs w:val="24"/>
              </w:rPr>
              <w:t>WH10</w:t>
            </w:r>
          </w:p>
        </w:tc>
        <w:tc>
          <w:tcPr>
            <w:tcW w:w="2508" w:type="pct"/>
            <w:tcBorders>
              <w:top w:val="single" w:color="auto" w:sz="4" w:space="0"/>
              <w:left w:val="single" w:color="auto" w:sz="4" w:space="0"/>
              <w:bottom w:val="single" w:color="auto" w:sz="4" w:space="0"/>
              <w:right w:val="single" w:color="auto" w:sz="4" w:space="0"/>
            </w:tcBorders>
            <w:shd w:val="clear" w:color="auto" w:fill="auto"/>
            <w:vAlign w:val="center"/>
          </w:tcPr>
          <w:p w14:paraId="7CCB58CA">
            <w:pPr>
              <w:rPr>
                <w:rFonts w:ascii="楷体" w:hAnsi="楷体" w:eastAsia="楷体" w:cs="楷体"/>
                <w:sz w:val="24"/>
                <w:szCs w:val="24"/>
              </w:rPr>
            </w:pPr>
            <w:r>
              <w:rPr>
                <w:rFonts w:hint="eastAsia" w:ascii="楷体" w:hAnsi="楷体" w:eastAsia="楷体" w:cs="楷体"/>
                <w:sz w:val="24"/>
                <w:szCs w:val="24"/>
              </w:rPr>
              <w:t>高处作业平台在周边未设置围挡或警示围篱</w:t>
            </w:r>
          </w:p>
        </w:tc>
        <w:tc>
          <w:tcPr>
            <w:tcW w:w="1480" w:type="pct"/>
            <w:tcBorders>
              <w:top w:val="single" w:color="auto" w:sz="4" w:space="0"/>
              <w:left w:val="single" w:color="auto" w:sz="4" w:space="0"/>
              <w:bottom w:val="single" w:color="auto" w:sz="4" w:space="0"/>
              <w:right w:val="single" w:color="auto" w:sz="4" w:space="0"/>
            </w:tcBorders>
            <w:shd w:val="clear" w:color="auto" w:fill="auto"/>
            <w:vAlign w:val="center"/>
          </w:tcPr>
          <w:p w14:paraId="4CCC9B3D">
            <w:pPr>
              <w:rPr>
                <w:rFonts w:ascii="楷体" w:hAnsi="楷体" w:eastAsia="楷体" w:cs="楷体"/>
                <w:sz w:val="24"/>
                <w:szCs w:val="24"/>
              </w:rPr>
            </w:pPr>
            <w:r>
              <w:rPr>
                <w:rFonts w:hint="eastAsia" w:ascii="楷体" w:hAnsi="楷体" w:eastAsia="楷体" w:cs="楷体"/>
                <w:sz w:val="24"/>
                <w:szCs w:val="24"/>
              </w:rPr>
              <w:t>每处每次1000元</w:t>
            </w:r>
          </w:p>
        </w:tc>
        <w:tc>
          <w:tcPr>
            <w:tcW w:w="539" w:type="pct"/>
            <w:tcBorders>
              <w:top w:val="single" w:color="auto" w:sz="4" w:space="0"/>
              <w:left w:val="single" w:color="auto" w:sz="4" w:space="0"/>
              <w:bottom w:val="single" w:color="auto" w:sz="4" w:space="0"/>
              <w:right w:val="single" w:color="auto" w:sz="4" w:space="0"/>
            </w:tcBorders>
            <w:shd w:val="clear" w:color="auto" w:fill="auto"/>
            <w:vAlign w:val="center"/>
          </w:tcPr>
          <w:p w14:paraId="6E3AEFF5">
            <w:pPr>
              <w:rPr>
                <w:rFonts w:ascii="楷体" w:hAnsi="楷体" w:eastAsia="楷体" w:cs="楷体"/>
                <w:sz w:val="24"/>
                <w:szCs w:val="24"/>
              </w:rPr>
            </w:pPr>
          </w:p>
        </w:tc>
      </w:tr>
      <w:tr w14:paraId="54DA9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471" w:type="pct"/>
            <w:tcBorders>
              <w:top w:val="single" w:color="auto" w:sz="4" w:space="0"/>
              <w:left w:val="single" w:color="auto" w:sz="4" w:space="0"/>
              <w:bottom w:val="single" w:color="auto" w:sz="4" w:space="0"/>
              <w:right w:val="single" w:color="auto" w:sz="4" w:space="0"/>
            </w:tcBorders>
            <w:shd w:val="clear" w:color="auto" w:fill="auto"/>
            <w:vAlign w:val="center"/>
          </w:tcPr>
          <w:p w14:paraId="26D6FD2C">
            <w:pPr>
              <w:rPr>
                <w:rFonts w:ascii="楷体" w:hAnsi="楷体" w:eastAsia="楷体" w:cs="楷体"/>
                <w:sz w:val="24"/>
                <w:szCs w:val="24"/>
              </w:rPr>
            </w:pPr>
            <w:r>
              <w:rPr>
                <w:rFonts w:hint="eastAsia" w:ascii="楷体" w:hAnsi="楷体" w:eastAsia="楷体" w:cs="楷体"/>
                <w:sz w:val="24"/>
                <w:szCs w:val="24"/>
              </w:rPr>
              <w:t>WH11</w:t>
            </w:r>
          </w:p>
        </w:tc>
        <w:tc>
          <w:tcPr>
            <w:tcW w:w="2508" w:type="pct"/>
            <w:tcBorders>
              <w:top w:val="single" w:color="auto" w:sz="4" w:space="0"/>
              <w:left w:val="single" w:color="auto" w:sz="4" w:space="0"/>
              <w:bottom w:val="single" w:color="auto" w:sz="4" w:space="0"/>
              <w:right w:val="single" w:color="auto" w:sz="4" w:space="0"/>
            </w:tcBorders>
            <w:shd w:val="clear" w:color="auto" w:fill="auto"/>
            <w:vAlign w:val="center"/>
          </w:tcPr>
          <w:p w14:paraId="579B55E0">
            <w:pPr>
              <w:rPr>
                <w:rFonts w:ascii="楷体" w:hAnsi="楷体" w:eastAsia="楷体" w:cs="楷体"/>
                <w:sz w:val="24"/>
                <w:szCs w:val="24"/>
              </w:rPr>
            </w:pPr>
            <w:r>
              <w:rPr>
                <w:rFonts w:hint="eastAsia" w:ascii="楷体" w:hAnsi="楷体" w:eastAsia="楷体" w:cs="楷体"/>
                <w:sz w:val="24"/>
                <w:szCs w:val="24"/>
              </w:rPr>
              <w:t>从高空抛物等</w:t>
            </w:r>
          </w:p>
        </w:tc>
        <w:tc>
          <w:tcPr>
            <w:tcW w:w="1480" w:type="pct"/>
            <w:tcBorders>
              <w:top w:val="single" w:color="auto" w:sz="4" w:space="0"/>
              <w:left w:val="single" w:color="auto" w:sz="4" w:space="0"/>
              <w:bottom w:val="single" w:color="auto" w:sz="4" w:space="0"/>
              <w:right w:val="single" w:color="auto" w:sz="4" w:space="0"/>
            </w:tcBorders>
            <w:shd w:val="clear" w:color="auto" w:fill="auto"/>
            <w:vAlign w:val="center"/>
          </w:tcPr>
          <w:p w14:paraId="34F35562">
            <w:pPr>
              <w:rPr>
                <w:rFonts w:ascii="楷体" w:hAnsi="楷体" w:eastAsia="楷体" w:cs="楷体"/>
                <w:sz w:val="24"/>
                <w:szCs w:val="24"/>
              </w:rPr>
            </w:pPr>
            <w:r>
              <w:rPr>
                <w:rFonts w:hint="eastAsia" w:ascii="楷体" w:hAnsi="楷体" w:eastAsia="楷体" w:cs="楷体"/>
                <w:sz w:val="24"/>
                <w:szCs w:val="24"/>
              </w:rPr>
              <w:t>每处每次1000元</w:t>
            </w:r>
          </w:p>
        </w:tc>
        <w:tc>
          <w:tcPr>
            <w:tcW w:w="539" w:type="pct"/>
            <w:tcBorders>
              <w:top w:val="single" w:color="auto" w:sz="4" w:space="0"/>
              <w:left w:val="single" w:color="auto" w:sz="4" w:space="0"/>
              <w:bottom w:val="single" w:color="auto" w:sz="4" w:space="0"/>
              <w:right w:val="single" w:color="auto" w:sz="4" w:space="0"/>
            </w:tcBorders>
            <w:shd w:val="clear" w:color="auto" w:fill="auto"/>
            <w:vAlign w:val="center"/>
          </w:tcPr>
          <w:p w14:paraId="6CB245C9">
            <w:pPr>
              <w:rPr>
                <w:rFonts w:ascii="楷体" w:hAnsi="楷体" w:eastAsia="楷体" w:cs="楷体"/>
                <w:sz w:val="24"/>
                <w:szCs w:val="24"/>
              </w:rPr>
            </w:pPr>
          </w:p>
        </w:tc>
      </w:tr>
      <w:tr w14:paraId="0E68C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471" w:type="pct"/>
            <w:tcBorders>
              <w:top w:val="single" w:color="auto" w:sz="4" w:space="0"/>
              <w:left w:val="single" w:color="auto" w:sz="4" w:space="0"/>
              <w:bottom w:val="single" w:color="auto" w:sz="4" w:space="0"/>
              <w:right w:val="single" w:color="auto" w:sz="4" w:space="0"/>
            </w:tcBorders>
            <w:shd w:val="clear" w:color="auto" w:fill="auto"/>
            <w:vAlign w:val="center"/>
          </w:tcPr>
          <w:p w14:paraId="487D6518">
            <w:pPr>
              <w:rPr>
                <w:rFonts w:ascii="楷体" w:hAnsi="楷体" w:eastAsia="楷体" w:cs="楷体"/>
                <w:sz w:val="24"/>
                <w:szCs w:val="24"/>
              </w:rPr>
            </w:pPr>
            <w:r>
              <w:rPr>
                <w:rFonts w:hint="eastAsia" w:ascii="楷体" w:hAnsi="楷体" w:eastAsia="楷体" w:cs="楷体"/>
                <w:sz w:val="24"/>
                <w:szCs w:val="24"/>
              </w:rPr>
              <w:t>WH12</w:t>
            </w:r>
          </w:p>
        </w:tc>
        <w:tc>
          <w:tcPr>
            <w:tcW w:w="2508" w:type="pct"/>
            <w:tcBorders>
              <w:top w:val="single" w:color="auto" w:sz="4" w:space="0"/>
              <w:left w:val="single" w:color="auto" w:sz="4" w:space="0"/>
              <w:bottom w:val="single" w:color="auto" w:sz="4" w:space="0"/>
              <w:right w:val="single" w:color="auto" w:sz="4" w:space="0"/>
            </w:tcBorders>
            <w:shd w:val="clear" w:color="auto" w:fill="auto"/>
            <w:vAlign w:val="center"/>
          </w:tcPr>
          <w:p w14:paraId="140C5041">
            <w:pPr>
              <w:rPr>
                <w:rFonts w:ascii="楷体" w:hAnsi="楷体" w:eastAsia="楷体" w:cs="楷体"/>
                <w:sz w:val="24"/>
                <w:szCs w:val="24"/>
              </w:rPr>
            </w:pPr>
            <w:r>
              <w:rPr>
                <w:rFonts w:hint="eastAsia" w:ascii="楷体" w:hAnsi="楷体" w:eastAsia="楷体" w:cs="楷体"/>
                <w:sz w:val="24"/>
                <w:szCs w:val="24"/>
              </w:rPr>
              <w:t>其他违反国家相关标准或项目管理规定</w:t>
            </w:r>
          </w:p>
        </w:tc>
        <w:tc>
          <w:tcPr>
            <w:tcW w:w="1480" w:type="pct"/>
            <w:tcBorders>
              <w:top w:val="single" w:color="auto" w:sz="4" w:space="0"/>
              <w:left w:val="single" w:color="auto" w:sz="4" w:space="0"/>
              <w:bottom w:val="single" w:color="auto" w:sz="4" w:space="0"/>
              <w:right w:val="single" w:color="auto" w:sz="4" w:space="0"/>
            </w:tcBorders>
            <w:shd w:val="clear" w:color="auto" w:fill="auto"/>
            <w:vAlign w:val="center"/>
          </w:tcPr>
          <w:p w14:paraId="57BE9A6E">
            <w:pPr>
              <w:rPr>
                <w:rFonts w:ascii="楷体" w:hAnsi="楷体" w:eastAsia="楷体" w:cs="楷体"/>
                <w:sz w:val="24"/>
                <w:szCs w:val="24"/>
              </w:rPr>
            </w:pPr>
            <w:r>
              <w:rPr>
                <w:rFonts w:hint="eastAsia" w:ascii="楷体" w:hAnsi="楷体" w:eastAsia="楷体" w:cs="楷体"/>
                <w:sz w:val="24"/>
                <w:szCs w:val="24"/>
              </w:rPr>
              <w:t>每处每次500-50000元</w:t>
            </w:r>
          </w:p>
        </w:tc>
        <w:tc>
          <w:tcPr>
            <w:tcW w:w="539" w:type="pct"/>
            <w:tcBorders>
              <w:top w:val="single" w:color="auto" w:sz="4" w:space="0"/>
              <w:left w:val="single" w:color="auto" w:sz="4" w:space="0"/>
              <w:bottom w:val="single" w:color="auto" w:sz="4" w:space="0"/>
              <w:right w:val="single" w:color="auto" w:sz="4" w:space="0"/>
            </w:tcBorders>
            <w:shd w:val="clear" w:color="auto" w:fill="auto"/>
            <w:vAlign w:val="center"/>
          </w:tcPr>
          <w:p w14:paraId="4237566A">
            <w:pPr>
              <w:rPr>
                <w:rFonts w:ascii="楷体" w:hAnsi="楷体" w:eastAsia="楷体" w:cs="楷体"/>
                <w:sz w:val="24"/>
                <w:szCs w:val="24"/>
              </w:rPr>
            </w:pPr>
          </w:p>
        </w:tc>
      </w:tr>
    </w:tbl>
    <w:p w14:paraId="799992C2">
      <w:pPr>
        <w:pStyle w:val="2"/>
        <w:ind w:firstLine="480"/>
        <w:rPr>
          <w:rFonts w:ascii="楷体" w:hAnsi="楷体" w:eastAsia="楷体" w:cs="楷体"/>
          <w:bCs/>
          <w:sz w:val="24"/>
          <w:szCs w:val="24"/>
        </w:rPr>
      </w:pPr>
      <w:r>
        <w:rPr>
          <w:rFonts w:hint="eastAsia" w:ascii="楷体" w:hAnsi="楷体" w:eastAsia="楷体" w:cs="楷体"/>
          <w:bCs/>
          <w:sz w:val="24"/>
          <w:szCs w:val="24"/>
          <w:lang w:bidi="ar"/>
        </w:rPr>
        <w:t>4.7.6 安全保卫管理</w:t>
      </w:r>
    </w:p>
    <w:tbl>
      <w:tblPr>
        <w:tblStyle w:val="1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4"/>
        <w:gridCol w:w="4336"/>
        <w:gridCol w:w="2401"/>
        <w:gridCol w:w="1142"/>
      </w:tblGrid>
      <w:tr w14:paraId="5A813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blHeader/>
          <w:jc w:val="center"/>
        </w:trPr>
        <w:tc>
          <w:tcPr>
            <w:tcW w:w="677" w:type="pct"/>
            <w:tcBorders>
              <w:top w:val="single" w:color="auto" w:sz="4" w:space="0"/>
              <w:left w:val="single" w:color="auto" w:sz="4" w:space="0"/>
              <w:bottom w:val="single" w:color="auto" w:sz="4" w:space="0"/>
              <w:right w:val="single" w:color="auto" w:sz="4" w:space="0"/>
            </w:tcBorders>
            <w:shd w:val="clear" w:color="auto" w:fill="auto"/>
            <w:vAlign w:val="center"/>
          </w:tcPr>
          <w:p w14:paraId="39242F7D">
            <w:pPr>
              <w:rPr>
                <w:rFonts w:ascii="楷体" w:hAnsi="楷体" w:eastAsia="楷体" w:cs="楷体"/>
                <w:sz w:val="24"/>
                <w:szCs w:val="24"/>
              </w:rPr>
            </w:pPr>
            <w:r>
              <w:rPr>
                <w:rFonts w:hint="eastAsia" w:ascii="楷体" w:hAnsi="楷体" w:eastAsia="楷体" w:cs="楷体"/>
                <w:sz w:val="24"/>
                <w:szCs w:val="24"/>
              </w:rPr>
              <w:t>序号</w:t>
            </w:r>
          </w:p>
        </w:tc>
        <w:tc>
          <w:tcPr>
            <w:tcW w:w="2378" w:type="pct"/>
            <w:tcBorders>
              <w:top w:val="single" w:color="auto" w:sz="4" w:space="0"/>
              <w:left w:val="single" w:color="auto" w:sz="4" w:space="0"/>
              <w:bottom w:val="single" w:color="auto" w:sz="4" w:space="0"/>
              <w:right w:val="single" w:color="auto" w:sz="4" w:space="0"/>
            </w:tcBorders>
            <w:shd w:val="clear" w:color="auto" w:fill="auto"/>
            <w:vAlign w:val="center"/>
          </w:tcPr>
          <w:p w14:paraId="46418C49">
            <w:pPr>
              <w:rPr>
                <w:rFonts w:ascii="楷体" w:hAnsi="楷体" w:eastAsia="楷体" w:cs="楷体"/>
                <w:sz w:val="24"/>
                <w:szCs w:val="24"/>
              </w:rPr>
            </w:pPr>
            <w:r>
              <w:rPr>
                <w:rFonts w:hint="eastAsia" w:ascii="楷体" w:hAnsi="楷体" w:eastAsia="楷体" w:cs="楷体"/>
                <w:sz w:val="24"/>
                <w:szCs w:val="24"/>
              </w:rPr>
              <w:t>违章内容</w:t>
            </w:r>
          </w:p>
        </w:tc>
        <w:tc>
          <w:tcPr>
            <w:tcW w:w="1317" w:type="pct"/>
            <w:tcBorders>
              <w:top w:val="single" w:color="auto" w:sz="4" w:space="0"/>
              <w:left w:val="single" w:color="auto" w:sz="4" w:space="0"/>
              <w:bottom w:val="single" w:color="auto" w:sz="4" w:space="0"/>
              <w:right w:val="single" w:color="auto" w:sz="4" w:space="0"/>
            </w:tcBorders>
            <w:shd w:val="clear" w:color="auto" w:fill="auto"/>
            <w:vAlign w:val="center"/>
          </w:tcPr>
          <w:p w14:paraId="436AEA48">
            <w:pPr>
              <w:rPr>
                <w:rFonts w:ascii="楷体" w:hAnsi="楷体" w:eastAsia="楷体" w:cs="楷体"/>
                <w:sz w:val="24"/>
                <w:szCs w:val="24"/>
              </w:rPr>
            </w:pPr>
            <w:r>
              <w:rPr>
                <w:rFonts w:hint="eastAsia" w:ascii="楷体" w:hAnsi="楷体" w:eastAsia="楷体" w:cs="楷体"/>
                <w:sz w:val="24"/>
                <w:szCs w:val="24"/>
              </w:rPr>
              <w:t>罚款金额</w:t>
            </w:r>
          </w:p>
        </w:tc>
        <w:tc>
          <w:tcPr>
            <w:tcW w:w="626" w:type="pct"/>
            <w:tcBorders>
              <w:top w:val="single" w:color="auto" w:sz="4" w:space="0"/>
              <w:left w:val="single" w:color="auto" w:sz="4" w:space="0"/>
              <w:bottom w:val="single" w:color="auto" w:sz="4" w:space="0"/>
              <w:right w:val="single" w:color="auto" w:sz="4" w:space="0"/>
            </w:tcBorders>
            <w:shd w:val="clear" w:color="auto" w:fill="auto"/>
            <w:vAlign w:val="center"/>
          </w:tcPr>
          <w:p w14:paraId="6A1DBB77">
            <w:pPr>
              <w:rPr>
                <w:rFonts w:ascii="楷体" w:hAnsi="楷体" w:eastAsia="楷体" w:cs="楷体"/>
                <w:sz w:val="24"/>
                <w:szCs w:val="24"/>
              </w:rPr>
            </w:pPr>
            <w:r>
              <w:rPr>
                <w:rFonts w:hint="eastAsia" w:ascii="楷体" w:hAnsi="楷体" w:eastAsia="楷体" w:cs="楷体"/>
                <w:sz w:val="24"/>
                <w:szCs w:val="24"/>
              </w:rPr>
              <w:t>备注</w:t>
            </w:r>
          </w:p>
        </w:tc>
      </w:tr>
      <w:tr w14:paraId="5903A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677" w:type="pct"/>
            <w:tcBorders>
              <w:top w:val="single" w:color="auto" w:sz="4" w:space="0"/>
              <w:left w:val="single" w:color="auto" w:sz="4" w:space="0"/>
              <w:bottom w:val="single" w:color="auto" w:sz="4" w:space="0"/>
              <w:right w:val="single" w:color="auto" w:sz="4" w:space="0"/>
            </w:tcBorders>
            <w:shd w:val="clear" w:color="auto" w:fill="auto"/>
            <w:vAlign w:val="center"/>
          </w:tcPr>
          <w:p w14:paraId="751FFEF6">
            <w:pPr>
              <w:rPr>
                <w:rFonts w:ascii="楷体" w:hAnsi="楷体" w:eastAsia="楷体" w:cs="楷体"/>
                <w:sz w:val="24"/>
                <w:szCs w:val="24"/>
              </w:rPr>
            </w:pPr>
            <w:r>
              <w:rPr>
                <w:rFonts w:hint="eastAsia" w:ascii="楷体" w:hAnsi="楷体" w:eastAsia="楷体" w:cs="楷体"/>
                <w:sz w:val="24"/>
                <w:szCs w:val="24"/>
              </w:rPr>
              <w:t>SG01</w:t>
            </w:r>
          </w:p>
        </w:tc>
        <w:tc>
          <w:tcPr>
            <w:tcW w:w="2378" w:type="pct"/>
            <w:tcBorders>
              <w:top w:val="single" w:color="auto" w:sz="4" w:space="0"/>
              <w:left w:val="single" w:color="auto" w:sz="4" w:space="0"/>
              <w:bottom w:val="single" w:color="auto" w:sz="4" w:space="0"/>
              <w:right w:val="single" w:color="auto" w:sz="4" w:space="0"/>
            </w:tcBorders>
            <w:shd w:val="clear" w:color="auto" w:fill="auto"/>
            <w:vAlign w:val="center"/>
          </w:tcPr>
          <w:p w14:paraId="1A9D5835">
            <w:pPr>
              <w:rPr>
                <w:rFonts w:ascii="楷体" w:hAnsi="楷体" w:eastAsia="楷体" w:cs="楷体"/>
                <w:sz w:val="24"/>
                <w:szCs w:val="24"/>
              </w:rPr>
            </w:pPr>
            <w:r>
              <w:rPr>
                <w:rFonts w:hint="eastAsia" w:ascii="楷体" w:hAnsi="楷体" w:eastAsia="楷体" w:cs="楷体"/>
                <w:sz w:val="24"/>
                <w:szCs w:val="24"/>
              </w:rPr>
              <w:t>未经同意随意打开项目围墙围挡</w:t>
            </w:r>
          </w:p>
        </w:tc>
        <w:tc>
          <w:tcPr>
            <w:tcW w:w="1317" w:type="pct"/>
            <w:tcBorders>
              <w:top w:val="single" w:color="auto" w:sz="4" w:space="0"/>
              <w:left w:val="single" w:color="auto" w:sz="4" w:space="0"/>
              <w:bottom w:val="single" w:color="auto" w:sz="4" w:space="0"/>
              <w:right w:val="single" w:color="auto" w:sz="4" w:space="0"/>
            </w:tcBorders>
            <w:shd w:val="clear" w:color="auto" w:fill="auto"/>
            <w:vAlign w:val="center"/>
          </w:tcPr>
          <w:p w14:paraId="007159E0">
            <w:pPr>
              <w:rPr>
                <w:rFonts w:ascii="楷体" w:hAnsi="楷体" w:eastAsia="楷体" w:cs="楷体"/>
                <w:sz w:val="24"/>
                <w:szCs w:val="24"/>
              </w:rPr>
            </w:pPr>
            <w:r>
              <w:rPr>
                <w:rFonts w:hint="eastAsia" w:ascii="楷体" w:hAnsi="楷体" w:eastAsia="楷体" w:cs="楷体"/>
                <w:sz w:val="24"/>
                <w:szCs w:val="24"/>
              </w:rPr>
              <w:t>每处每次5000元</w:t>
            </w:r>
          </w:p>
        </w:tc>
        <w:tc>
          <w:tcPr>
            <w:tcW w:w="626" w:type="pct"/>
            <w:tcBorders>
              <w:top w:val="single" w:color="auto" w:sz="4" w:space="0"/>
              <w:left w:val="single" w:color="auto" w:sz="4" w:space="0"/>
              <w:bottom w:val="single" w:color="auto" w:sz="4" w:space="0"/>
              <w:right w:val="single" w:color="auto" w:sz="4" w:space="0"/>
            </w:tcBorders>
            <w:shd w:val="clear" w:color="auto" w:fill="auto"/>
            <w:vAlign w:val="center"/>
          </w:tcPr>
          <w:p w14:paraId="013B32C8">
            <w:pPr>
              <w:rPr>
                <w:rFonts w:ascii="楷体" w:hAnsi="楷体" w:eastAsia="楷体" w:cs="楷体"/>
                <w:sz w:val="24"/>
                <w:szCs w:val="24"/>
              </w:rPr>
            </w:pPr>
            <w:r>
              <w:rPr>
                <w:rFonts w:hint="eastAsia" w:ascii="楷体" w:hAnsi="楷体" w:eastAsia="楷体" w:cs="楷体"/>
                <w:sz w:val="24"/>
                <w:szCs w:val="24"/>
              </w:rPr>
              <w:t>立即修复</w:t>
            </w:r>
          </w:p>
        </w:tc>
      </w:tr>
      <w:tr w14:paraId="19DF5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677" w:type="pct"/>
            <w:tcBorders>
              <w:top w:val="single" w:color="auto" w:sz="4" w:space="0"/>
              <w:left w:val="single" w:color="auto" w:sz="4" w:space="0"/>
              <w:bottom w:val="single" w:color="auto" w:sz="4" w:space="0"/>
              <w:right w:val="single" w:color="auto" w:sz="4" w:space="0"/>
            </w:tcBorders>
            <w:shd w:val="clear" w:color="auto" w:fill="auto"/>
            <w:vAlign w:val="center"/>
          </w:tcPr>
          <w:p w14:paraId="4207596B">
            <w:pPr>
              <w:rPr>
                <w:rFonts w:ascii="楷体" w:hAnsi="楷体" w:eastAsia="楷体" w:cs="楷体"/>
                <w:sz w:val="24"/>
                <w:szCs w:val="24"/>
              </w:rPr>
            </w:pPr>
            <w:r>
              <w:rPr>
                <w:rFonts w:hint="eastAsia" w:ascii="楷体" w:hAnsi="楷体" w:eastAsia="楷体" w:cs="楷体"/>
                <w:sz w:val="24"/>
                <w:szCs w:val="24"/>
              </w:rPr>
              <w:t>SG02</w:t>
            </w:r>
          </w:p>
        </w:tc>
        <w:tc>
          <w:tcPr>
            <w:tcW w:w="2378" w:type="pct"/>
            <w:tcBorders>
              <w:top w:val="single" w:color="auto" w:sz="4" w:space="0"/>
              <w:left w:val="single" w:color="auto" w:sz="4" w:space="0"/>
              <w:bottom w:val="single" w:color="auto" w:sz="4" w:space="0"/>
              <w:right w:val="single" w:color="auto" w:sz="4" w:space="0"/>
            </w:tcBorders>
            <w:shd w:val="clear" w:color="auto" w:fill="auto"/>
            <w:vAlign w:val="center"/>
          </w:tcPr>
          <w:p w14:paraId="267A6889">
            <w:pPr>
              <w:rPr>
                <w:rFonts w:ascii="楷体" w:hAnsi="楷体" w:eastAsia="楷体" w:cs="楷体"/>
                <w:sz w:val="24"/>
                <w:szCs w:val="24"/>
              </w:rPr>
            </w:pPr>
            <w:r>
              <w:rPr>
                <w:rFonts w:hint="eastAsia" w:ascii="楷体" w:hAnsi="楷体" w:eastAsia="楷体" w:cs="楷体"/>
                <w:sz w:val="24"/>
                <w:szCs w:val="24"/>
              </w:rPr>
              <w:t>违规翻越、破坏工地围墙、围挡</w:t>
            </w:r>
          </w:p>
        </w:tc>
        <w:tc>
          <w:tcPr>
            <w:tcW w:w="1317" w:type="pct"/>
            <w:tcBorders>
              <w:top w:val="single" w:color="auto" w:sz="4" w:space="0"/>
              <w:left w:val="single" w:color="auto" w:sz="4" w:space="0"/>
              <w:bottom w:val="single" w:color="auto" w:sz="4" w:space="0"/>
              <w:right w:val="single" w:color="auto" w:sz="4" w:space="0"/>
            </w:tcBorders>
            <w:shd w:val="clear" w:color="auto" w:fill="auto"/>
            <w:vAlign w:val="center"/>
          </w:tcPr>
          <w:p w14:paraId="1E4F479D">
            <w:pPr>
              <w:rPr>
                <w:rFonts w:ascii="楷体" w:hAnsi="楷体" w:eastAsia="楷体" w:cs="楷体"/>
                <w:sz w:val="24"/>
                <w:szCs w:val="24"/>
              </w:rPr>
            </w:pPr>
            <w:r>
              <w:rPr>
                <w:rFonts w:hint="eastAsia" w:ascii="楷体" w:hAnsi="楷体" w:eastAsia="楷体" w:cs="楷体"/>
                <w:sz w:val="24"/>
                <w:szCs w:val="24"/>
              </w:rPr>
              <w:t>每处每次2000元</w:t>
            </w:r>
          </w:p>
        </w:tc>
        <w:tc>
          <w:tcPr>
            <w:tcW w:w="626" w:type="pct"/>
            <w:tcBorders>
              <w:top w:val="single" w:color="auto" w:sz="4" w:space="0"/>
              <w:left w:val="single" w:color="auto" w:sz="4" w:space="0"/>
              <w:bottom w:val="single" w:color="auto" w:sz="4" w:space="0"/>
              <w:right w:val="single" w:color="auto" w:sz="4" w:space="0"/>
            </w:tcBorders>
            <w:shd w:val="clear" w:color="auto" w:fill="auto"/>
            <w:vAlign w:val="center"/>
          </w:tcPr>
          <w:p w14:paraId="35FF89D5">
            <w:pPr>
              <w:rPr>
                <w:rFonts w:ascii="楷体" w:hAnsi="楷体" w:eastAsia="楷体" w:cs="楷体"/>
                <w:sz w:val="24"/>
                <w:szCs w:val="24"/>
              </w:rPr>
            </w:pPr>
          </w:p>
        </w:tc>
      </w:tr>
      <w:tr w14:paraId="35B86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677" w:type="pct"/>
            <w:tcBorders>
              <w:top w:val="single" w:color="auto" w:sz="4" w:space="0"/>
              <w:left w:val="single" w:color="auto" w:sz="4" w:space="0"/>
              <w:bottom w:val="single" w:color="auto" w:sz="4" w:space="0"/>
              <w:right w:val="single" w:color="auto" w:sz="4" w:space="0"/>
            </w:tcBorders>
            <w:shd w:val="clear" w:color="auto" w:fill="auto"/>
            <w:vAlign w:val="center"/>
          </w:tcPr>
          <w:p w14:paraId="006D23D3">
            <w:pPr>
              <w:rPr>
                <w:rFonts w:ascii="楷体" w:hAnsi="楷体" w:eastAsia="楷体" w:cs="楷体"/>
                <w:sz w:val="24"/>
                <w:szCs w:val="24"/>
              </w:rPr>
            </w:pPr>
            <w:r>
              <w:rPr>
                <w:rFonts w:hint="eastAsia" w:ascii="楷体" w:hAnsi="楷体" w:eastAsia="楷体" w:cs="楷体"/>
                <w:sz w:val="24"/>
                <w:szCs w:val="24"/>
              </w:rPr>
              <w:t>SG03</w:t>
            </w:r>
          </w:p>
        </w:tc>
        <w:tc>
          <w:tcPr>
            <w:tcW w:w="2378" w:type="pct"/>
            <w:tcBorders>
              <w:top w:val="single" w:color="auto" w:sz="4" w:space="0"/>
              <w:left w:val="single" w:color="auto" w:sz="4" w:space="0"/>
              <w:bottom w:val="single" w:color="auto" w:sz="4" w:space="0"/>
              <w:right w:val="single" w:color="auto" w:sz="4" w:space="0"/>
            </w:tcBorders>
            <w:shd w:val="clear" w:color="auto" w:fill="auto"/>
            <w:vAlign w:val="center"/>
          </w:tcPr>
          <w:p w14:paraId="29883347">
            <w:pPr>
              <w:rPr>
                <w:rFonts w:ascii="楷体" w:hAnsi="楷体" w:eastAsia="楷体" w:cs="楷体"/>
                <w:sz w:val="24"/>
                <w:szCs w:val="24"/>
              </w:rPr>
            </w:pPr>
            <w:r>
              <w:rPr>
                <w:rFonts w:hint="eastAsia" w:ascii="楷体" w:hAnsi="楷体" w:eastAsia="楷体" w:cs="楷体"/>
                <w:sz w:val="24"/>
                <w:szCs w:val="24"/>
              </w:rPr>
              <w:t>进出工地不配合检查，强行闯门</w:t>
            </w:r>
          </w:p>
        </w:tc>
        <w:tc>
          <w:tcPr>
            <w:tcW w:w="1317" w:type="pct"/>
            <w:tcBorders>
              <w:top w:val="single" w:color="auto" w:sz="4" w:space="0"/>
              <w:left w:val="single" w:color="auto" w:sz="4" w:space="0"/>
              <w:bottom w:val="single" w:color="auto" w:sz="4" w:space="0"/>
              <w:right w:val="single" w:color="auto" w:sz="4" w:space="0"/>
            </w:tcBorders>
            <w:shd w:val="clear" w:color="auto" w:fill="auto"/>
            <w:vAlign w:val="center"/>
          </w:tcPr>
          <w:p w14:paraId="72B5949D">
            <w:pPr>
              <w:rPr>
                <w:rFonts w:ascii="楷体" w:hAnsi="楷体" w:eastAsia="楷体" w:cs="楷体"/>
                <w:sz w:val="24"/>
                <w:szCs w:val="24"/>
              </w:rPr>
            </w:pPr>
            <w:r>
              <w:rPr>
                <w:rFonts w:hint="eastAsia" w:ascii="楷体" w:hAnsi="楷体" w:eastAsia="楷体" w:cs="楷体"/>
                <w:sz w:val="24"/>
                <w:szCs w:val="24"/>
              </w:rPr>
              <w:t>每处每次5000元</w:t>
            </w:r>
          </w:p>
        </w:tc>
        <w:tc>
          <w:tcPr>
            <w:tcW w:w="626" w:type="pct"/>
            <w:tcBorders>
              <w:top w:val="single" w:color="auto" w:sz="4" w:space="0"/>
              <w:left w:val="single" w:color="auto" w:sz="4" w:space="0"/>
              <w:bottom w:val="single" w:color="auto" w:sz="4" w:space="0"/>
              <w:right w:val="single" w:color="auto" w:sz="4" w:space="0"/>
            </w:tcBorders>
            <w:shd w:val="clear" w:color="auto" w:fill="auto"/>
            <w:vAlign w:val="center"/>
          </w:tcPr>
          <w:p w14:paraId="026FA1BD">
            <w:pPr>
              <w:rPr>
                <w:rFonts w:ascii="楷体" w:hAnsi="楷体" w:eastAsia="楷体" w:cs="楷体"/>
                <w:sz w:val="24"/>
                <w:szCs w:val="24"/>
              </w:rPr>
            </w:pPr>
          </w:p>
        </w:tc>
      </w:tr>
      <w:tr w14:paraId="6B0DF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677" w:type="pct"/>
            <w:tcBorders>
              <w:top w:val="single" w:color="auto" w:sz="4" w:space="0"/>
              <w:left w:val="single" w:color="auto" w:sz="4" w:space="0"/>
              <w:bottom w:val="single" w:color="auto" w:sz="4" w:space="0"/>
              <w:right w:val="single" w:color="auto" w:sz="4" w:space="0"/>
            </w:tcBorders>
            <w:shd w:val="clear" w:color="auto" w:fill="auto"/>
            <w:vAlign w:val="center"/>
          </w:tcPr>
          <w:p w14:paraId="5D202581">
            <w:pPr>
              <w:rPr>
                <w:rFonts w:ascii="楷体" w:hAnsi="楷体" w:eastAsia="楷体" w:cs="楷体"/>
                <w:sz w:val="24"/>
                <w:szCs w:val="24"/>
              </w:rPr>
            </w:pPr>
            <w:r>
              <w:rPr>
                <w:rFonts w:hint="eastAsia" w:ascii="楷体" w:hAnsi="楷体" w:eastAsia="楷体" w:cs="楷体"/>
                <w:sz w:val="24"/>
                <w:szCs w:val="24"/>
              </w:rPr>
              <w:t>SG04</w:t>
            </w:r>
          </w:p>
        </w:tc>
        <w:tc>
          <w:tcPr>
            <w:tcW w:w="2378" w:type="pct"/>
            <w:tcBorders>
              <w:top w:val="single" w:color="auto" w:sz="4" w:space="0"/>
              <w:left w:val="single" w:color="auto" w:sz="4" w:space="0"/>
              <w:bottom w:val="single" w:color="auto" w:sz="4" w:space="0"/>
              <w:right w:val="single" w:color="auto" w:sz="4" w:space="0"/>
            </w:tcBorders>
            <w:shd w:val="clear" w:color="auto" w:fill="auto"/>
            <w:vAlign w:val="center"/>
          </w:tcPr>
          <w:p w14:paraId="3BF8BC73">
            <w:pPr>
              <w:rPr>
                <w:rFonts w:ascii="楷体" w:hAnsi="楷体" w:eastAsia="楷体" w:cs="楷体"/>
                <w:sz w:val="24"/>
                <w:szCs w:val="24"/>
              </w:rPr>
            </w:pPr>
            <w:r>
              <w:rPr>
                <w:rFonts w:hint="eastAsia" w:ascii="楷体" w:hAnsi="楷体" w:eastAsia="楷体" w:cs="楷体"/>
                <w:sz w:val="24"/>
                <w:szCs w:val="24"/>
              </w:rPr>
              <w:t>工地内不按指挥停靠车辆、占道</w:t>
            </w:r>
          </w:p>
        </w:tc>
        <w:tc>
          <w:tcPr>
            <w:tcW w:w="1317" w:type="pct"/>
            <w:tcBorders>
              <w:top w:val="single" w:color="auto" w:sz="4" w:space="0"/>
              <w:left w:val="single" w:color="auto" w:sz="4" w:space="0"/>
              <w:bottom w:val="single" w:color="auto" w:sz="4" w:space="0"/>
              <w:right w:val="single" w:color="auto" w:sz="4" w:space="0"/>
            </w:tcBorders>
            <w:shd w:val="clear" w:color="auto" w:fill="auto"/>
            <w:vAlign w:val="center"/>
          </w:tcPr>
          <w:p w14:paraId="03B4BDC8">
            <w:pPr>
              <w:rPr>
                <w:rFonts w:ascii="楷体" w:hAnsi="楷体" w:eastAsia="楷体" w:cs="楷体"/>
                <w:sz w:val="24"/>
                <w:szCs w:val="24"/>
              </w:rPr>
            </w:pPr>
            <w:r>
              <w:rPr>
                <w:rFonts w:hint="eastAsia" w:ascii="楷体" w:hAnsi="楷体" w:eastAsia="楷体" w:cs="楷体"/>
                <w:sz w:val="24"/>
                <w:szCs w:val="24"/>
              </w:rPr>
              <w:t>每处每次1000元</w:t>
            </w:r>
          </w:p>
        </w:tc>
        <w:tc>
          <w:tcPr>
            <w:tcW w:w="626" w:type="pct"/>
            <w:tcBorders>
              <w:top w:val="single" w:color="auto" w:sz="4" w:space="0"/>
              <w:left w:val="single" w:color="auto" w:sz="4" w:space="0"/>
              <w:bottom w:val="single" w:color="auto" w:sz="4" w:space="0"/>
              <w:right w:val="single" w:color="auto" w:sz="4" w:space="0"/>
            </w:tcBorders>
            <w:shd w:val="clear" w:color="auto" w:fill="auto"/>
            <w:vAlign w:val="center"/>
          </w:tcPr>
          <w:p w14:paraId="01772741">
            <w:pPr>
              <w:rPr>
                <w:rFonts w:ascii="楷体" w:hAnsi="楷体" w:eastAsia="楷体" w:cs="楷体"/>
                <w:sz w:val="24"/>
                <w:szCs w:val="24"/>
              </w:rPr>
            </w:pPr>
          </w:p>
        </w:tc>
      </w:tr>
      <w:tr w14:paraId="783AD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677" w:type="pct"/>
            <w:tcBorders>
              <w:top w:val="single" w:color="auto" w:sz="4" w:space="0"/>
              <w:left w:val="single" w:color="auto" w:sz="4" w:space="0"/>
              <w:bottom w:val="single" w:color="auto" w:sz="4" w:space="0"/>
              <w:right w:val="single" w:color="auto" w:sz="4" w:space="0"/>
            </w:tcBorders>
            <w:shd w:val="clear" w:color="auto" w:fill="auto"/>
            <w:vAlign w:val="center"/>
          </w:tcPr>
          <w:p w14:paraId="3AB879AD">
            <w:pPr>
              <w:rPr>
                <w:rFonts w:ascii="楷体" w:hAnsi="楷体" w:eastAsia="楷体" w:cs="楷体"/>
                <w:sz w:val="24"/>
                <w:szCs w:val="24"/>
              </w:rPr>
            </w:pPr>
            <w:r>
              <w:rPr>
                <w:rFonts w:hint="eastAsia" w:ascii="楷体" w:hAnsi="楷体" w:eastAsia="楷体" w:cs="楷体"/>
                <w:sz w:val="24"/>
                <w:szCs w:val="24"/>
              </w:rPr>
              <w:t>SG05</w:t>
            </w:r>
          </w:p>
        </w:tc>
        <w:tc>
          <w:tcPr>
            <w:tcW w:w="2378" w:type="pct"/>
            <w:tcBorders>
              <w:top w:val="single" w:color="auto" w:sz="4" w:space="0"/>
              <w:left w:val="single" w:color="auto" w:sz="4" w:space="0"/>
              <w:bottom w:val="single" w:color="auto" w:sz="4" w:space="0"/>
              <w:right w:val="single" w:color="auto" w:sz="4" w:space="0"/>
            </w:tcBorders>
            <w:shd w:val="clear" w:color="auto" w:fill="auto"/>
            <w:vAlign w:val="center"/>
          </w:tcPr>
          <w:p w14:paraId="04CAD042">
            <w:pPr>
              <w:rPr>
                <w:rFonts w:ascii="楷体" w:hAnsi="楷体" w:eastAsia="楷体" w:cs="楷体"/>
                <w:sz w:val="24"/>
                <w:szCs w:val="24"/>
              </w:rPr>
            </w:pPr>
            <w:r>
              <w:rPr>
                <w:rFonts w:hint="eastAsia" w:ascii="楷体" w:hAnsi="楷体" w:eastAsia="楷体" w:cs="楷体"/>
                <w:sz w:val="24"/>
                <w:szCs w:val="24"/>
              </w:rPr>
              <w:t>不服从交通调度、指挥</w:t>
            </w:r>
          </w:p>
        </w:tc>
        <w:tc>
          <w:tcPr>
            <w:tcW w:w="1317" w:type="pct"/>
            <w:tcBorders>
              <w:top w:val="single" w:color="auto" w:sz="4" w:space="0"/>
              <w:left w:val="single" w:color="auto" w:sz="4" w:space="0"/>
              <w:bottom w:val="single" w:color="auto" w:sz="4" w:space="0"/>
              <w:right w:val="single" w:color="auto" w:sz="4" w:space="0"/>
            </w:tcBorders>
            <w:shd w:val="clear" w:color="auto" w:fill="auto"/>
            <w:vAlign w:val="center"/>
          </w:tcPr>
          <w:p w14:paraId="425B7E6D">
            <w:pPr>
              <w:rPr>
                <w:rFonts w:ascii="楷体" w:hAnsi="楷体" w:eastAsia="楷体" w:cs="楷体"/>
                <w:sz w:val="24"/>
                <w:szCs w:val="24"/>
              </w:rPr>
            </w:pPr>
            <w:r>
              <w:rPr>
                <w:rFonts w:hint="eastAsia" w:ascii="楷体" w:hAnsi="楷体" w:eastAsia="楷体" w:cs="楷体"/>
                <w:sz w:val="24"/>
                <w:szCs w:val="24"/>
              </w:rPr>
              <w:t>每处每次1000元</w:t>
            </w:r>
          </w:p>
        </w:tc>
        <w:tc>
          <w:tcPr>
            <w:tcW w:w="626" w:type="pct"/>
            <w:tcBorders>
              <w:top w:val="single" w:color="auto" w:sz="4" w:space="0"/>
              <w:left w:val="single" w:color="auto" w:sz="4" w:space="0"/>
              <w:bottom w:val="single" w:color="auto" w:sz="4" w:space="0"/>
              <w:right w:val="single" w:color="auto" w:sz="4" w:space="0"/>
            </w:tcBorders>
            <w:shd w:val="clear" w:color="auto" w:fill="auto"/>
            <w:vAlign w:val="center"/>
          </w:tcPr>
          <w:p w14:paraId="74BC4111">
            <w:pPr>
              <w:rPr>
                <w:rFonts w:ascii="楷体" w:hAnsi="楷体" w:eastAsia="楷体" w:cs="楷体"/>
                <w:sz w:val="24"/>
                <w:szCs w:val="24"/>
              </w:rPr>
            </w:pPr>
          </w:p>
        </w:tc>
      </w:tr>
      <w:tr w14:paraId="26E36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677" w:type="pct"/>
            <w:tcBorders>
              <w:top w:val="single" w:color="auto" w:sz="4" w:space="0"/>
              <w:left w:val="single" w:color="auto" w:sz="4" w:space="0"/>
              <w:bottom w:val="single" w:color="auto" w:sz="4" w:space="0"/>
              <w:right w:val="single" w:color="auto" w:sz="4" w:space="0"/>
            </w:tcBorders>
            <w:shd w:val="clear" w:color="auto" w:fill="auto"/>
            <w:vAlign w:val="center"/>
          </w:tcPr>
          <w:p w14:paraId="4767A01C">
            <w:pPr>
              <w:rPr>
                <w:rFonts w:ascii="楷体" w:hAnsi="楷体" w:eastAsia="楷体" w:cs="楷体"/>
                <w:sz w:val="24"/>
                <w:szCs w:val="24"/>
              </w:rPr>
            </w:pPr>
            <w:r>
              <w:rPr>
                <w:rFonts w:hint="eastAsia" w:ascii="楷体" w:hAnsi="楷体" w:eastAsia="楷体" w:cs="楷体"/>
                <w:sz w:val="24"/>
                <w:szCs w:val="24"/>
              </w:rPr>
              <w:t>SG06</w:t>
            </w:r>
          </w:p>
        </w:tc>
        <w:tc>
          <w:tcPr>
            <w:tcW w:w="2378" w:type="pct"/>
            <w:tcBorders>
              <w:top w:val="single" w:color="auto" w:sz="4" w:space="0"/>
              <w:left w:val="single" w:color="auto" w:sz="4" w:space="0"/>
              <w:bottom w:val="single" w:color="auto" w:sz="4" w:space="0"/>
              <w:right w:val="single" w:color="auto" w:sz="4" w:space="0"/>
            </w:tcBorders>
            <w:shd w:val="clear" w:color="auto" w:fill="auto"/>
            <w:vAlign w:val="center"/>
          </w:tcPr>
          <w:p w14:paraId="53C3D35E">
            <w:pPr>
              <w:rPr>
                <w:rFonts w:ascii="楷体" w:hAnsi="楷体" w:eastAsia="楷体" w:cs="楷体"/>
                <w:sz w:val="24"/>
                <w:szCs w:val="24"/>
              </w:rPr>
            </w:pPr>
            <w:r>
              <w:rPr>
                <w:rFonts w:hint="eastAsia" w:ascii="楷体" w:hAnsi="楷体" w:eastAsia="楷体" w:cs="楷体"/>
                <w:sz w:val="24"/>
                <w:szCs w:val="24"/>
              </w:rPr>
              <w:t>偷盗物品、材料等非放行单罗列物品</w:t>
            </w:r>
          </w:p>
        </w:tc>
        <w:tc>
          <w:tcPr>
            <w:tcW w:w="1317" w:type="pct"/>
            <w:tcBorders>
              <w:top w:val="single" w:color="auto" w:sz="4" w:space="0"/>
              <w:left w:val="single" w:color="auto" w:sz="4" w:space="0"/>
              <w:bottom w:val="single" w:color="auto" w:sz="4" w:space="0"/>
              <w:right w:val="single" w:color="auto" w:sz="4" w:space="0"/>
            </w:tcBorders>
            <w:shd w:val="clear" w:color="auto" w:fill="auto"/>
            <w:vAlign w:val="center"/>
          </w:tcPr>
          <w:p w14:paraId="30A9CECA">
            <w:pPr>
              <w:rPr>
                <w:rFonts w:ascii="楷体" w:hAnsi="楷体" w:eastAsia="楷体" w:cs="楷体"/>
                <w:sz w:val="24"/>
                <w:szCs w:val="24"/>
              </w:rPr>
            </w:pPr>
            <w:r>
              <w:rPr>
                <w:rFonts w:hint="eastAsia" w:ascii="楷体" w:hAnsi="楷体" w:eastAsia="楷体" w:cs="楷体"/>
                <w:sz w:val="24"/>
                <w:szCs w:val="24"/>
              </w:rPr>
              <w:t>每处每次10000元</w:t>
            </w:r>
          </w:p>
        </w:tc>
        <w:tc>
          <w:tcPr>
            <w:tcW w:w="626" w:type="pct"/>
            <w:tcBorders>
              <w:top w:val="single" w:color="auto" w:sz="4" w:space="0"/>
              <w:left w:val="single" w:color="auto" w:sz="4" w:space="0"/>
              <w:bottom w:val="single" w:color="auto" w:sz="4" w:space="0"/>
              <w:right w:val="single" w:color="auto" w:sz="4" w:space="0"/>
            </w:tcBorders>
            <w:shd w:val="clear" w:color="auto" w:fill="auto"/>
            <w:vAlign w:val="center"/>
          </w:tcPr>
          <w:p w14:paraId="2DACAA30">
            <w:pPr>
              <w:rPr>
                <w:rFonts w:ascii="楷体" w:hAnsi="楷体" w:eastAsia="楷体" w:cs="楷体"/>
                <w:sz w:val="24"/>
                <w:szCs w:val="24"/>
              </w:rPr>
            </w:pPr>
          </w:p>
        </w:tc>
      </w:tr>
      <w:tr w14:paraId="530F5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677" w:type="pct"/>
            <w:tcBorders>
              <w:top w:val="single" w:color="auto" w:sz="4" w:space="0"/>
              <w:left w:val="single" w:color="auto" w:sz="4" w:space="0"/>
              <w:bottom w:val="single" w:color="auto" w:sz="4" w:space="0"/>
              <w:right w:val="single" w:color="auto" w:sz="4" w:space="0"/>
            </w:tcBorders>
            <w:shd w:val="clear" w:color="auto" w:fill="auto"/>
            <w:vAlign w:val="center"/>
          </w:tcPr>
          <w:p w14:paraId="13ED4E6C">
            <w:pPr>
              <w:rPr>
                <w:rFonts w:ascii="楷体" w:hAnsi="楷体" w:eastAsia="楷体" w:cs="楷体"/>
                <w:sz w:val="24"/>
                <w:szCs w:val="24"/>
              </w:rPr>
            </w:pPr>
            <w:r>
              <w:rPr>
                <w:rFonts w:hint="eastAsia" w:ascii="楷体" w:hAnsi="楷体" w:eastAsia="楷体" w:cs="楷体"/>
                <w:sz w:val="24"/>
                <w:szCs w:val="24"/>
              </w:rPr>
              <w:t>SG07</w:t>
            </w:r>
          </w:p>
        </w:tc>
        <w:tc>
          <w:tcPr>
            <w:tcW w:w="2378" w:type="pct"/>
            <w:tcBorders>
              <w:top w:val="single" w:color="auto" w:sz="4" w:space="0"/>
              <w:left w:val="single" w:color="auto" w:sz="4" w:space="0"/>
              <w:bottom w:val="single" w:color="auto" w:sz="4" w:space="0"/>
              <w:right w:val="single" w:color="auto" w:sz="4" w:space="0"/>
            </w:tcBorders>
            <w:shd w:val="clear" w:color="auto" w:fill="auto"/>
            <w:vAlign w:val="center"/>
          </w:tcPr>
          <w:p w14:paraId="14FC1795">
            <w:pPr>
              <w:rPr>
                <w:rFonts w:ascii="楷体" w:hAnsi="楷体" w:eastAsia="楷体" w:cs="楷体"/>
                <w:sz w:val="24"/>
                <w:szCs w:val="24"/>
              </w:rPr>
            </w:pPr>
            <w:r>
              <w:rPr>
                <w:rFonts w:hint="eastAsia" w:ascii="楷体" w:hAnsi="楷体" w:eastAsia="楷体" w:cs="楷体"/>
                <w:sz w:val="24"/>
                <w:szCs w:val="24"/>
              </w:rPr>
              <w:t>运出物品与放行单不符合</w:t>
            </w:r>
          </w:p>
        </w:tc>
        <w:tc>
          <w:tcPr>
            <w:tcW w:w="1317" w:type="pct"/>
            <w:tcBorders>
              <w:top w:val="single" w:color="auto" w:sz="4" w:space="0"/>
              <w:left w:val="single" w:color="auto" w:sz="4" w:space="0"/>
              <w:bottom w:val="single" w:color="auto" w:sz="4" w:space="0"/>
              <w:right w:val="single" w:color="auto" w:sz="4" w:space="0"/>
            </w:tcBorders>
            <w:shd w:val="clear" w:color="auto" w:fill="auto"/>
            <w:vAlign w:val="center"/>
          </w:tcPr>
          <w:p w14:paraId="06640B2A">
            <w:pPr>
              <w:rPr>
                <w:rFonts w:ascii="楷体" w:hAnsi="楷体" w:eastAsia="楷体" w:cs="楷体"/>
                <w:sz w:val="24"/>
                <w:szCs w:val="24"/>
              </w:rPr>
            </w:pPr>
            <w:r>
              <w:rPr>
                <w:rFonts w:hint="eastAsia" w:ascii="楷体" w:hAnsi="楷体" w:eastAsia="楷体" w:cs="楷体"/>
                <w:sz w:val="24"/>
                <w:szCs w:val="24"/>
              </w:rPr>
              <w:t>每处每次1000元</w:t>
            </w:r>
          </w:p>
        </w:tc>
        <w:tc>
          <w:tcPr>
            <w:tcW w:w="626" w:type="pct"/>
            <w:tcBorders>
              <w:top w:val="single" w:color="auto" w:sz="4" w:space="0"/>
              <w:left w:val="single" w:color="auto" w:sz="4" w:space="0"/>
              <w:bottom w:val="single" w:color="auto" w:sz="4" w:space="0"/>
              <w:right w:val="single" w:color="auto" w:sz="4" w:space="0"/>
            </w:tcBorders>
            <w:shd w:val="clear" w:color="auto" w:fill="auto"/>
            <w:vAlign w:val="center"/>
          </w:tcPr>
          <w:p w14:paraId="5FC0D0AE">
            <w:pPr>
              <w:rPr>
                <w:rFonts w:ascii="楷体" w:hAnsi="楷体" w:eastAsia="楷体" w:cs="楷体"/>
                <w:sz w:val="24"/>
                <w:szCs w:val="24"/>
              </w:rPr>
            </w:pPr>
          </w:p>
        </w:tc>
      </w:tr>
      <w:tr w14:paraId="5FD09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677" w:type="pct"/>
            <w:tcBorders>
              <w:top w:val="single" w:color="auto" w:sz="4" w:space="0"/>
              <w:left w:val="single" w:color="auto" w:sz="4" w:space="0"/>
              <w:bottom w:val="single" w:color="auto" w:sz="4" w:space="0"/>
              <w:right w:val="single" w:color="auto" w:sz="4" w:space="0"/>
            </w:tcBorders>
            <w:shd w:val="clear" w:color="auto" w:fill="auto"/>
            <w:vAlign w:val="center"/>
          </w:tcPr>
          <w:p w14:paraId="6956A3D2">
            <w:pPr>
              <w:rPr>
                <w:rFonts w:ascii="楷体" w:hAnsi="楷体" w:eastAsia="楷体" w:cs="楷体"/>
                <w:sz w:val="24"/>
                <w:szCs w:val="24"/>
              </w:rPr>
            </w:pPr>
            <w:r>
              <w:rPr>
                <w:rFonts w:hint="eastAsia" w:ascii="楷体" w:hAnsi="楷体" w:eastAsia="楷体" w:cs="楷体"/>
                <w:sz w:val="24"/>
                <w:szCs w:val="24"/>
              </w:rPr>
              <w:t>SG08</w:t>
            </w:r>
          </w:p>
        </w:tc>
        <w:tc>
          <w:tcPr>
            <w:tcW w:w="2378" w:type="pct"/>
            <w:tcBorders>
              <w:top w:val="single" w:color="auto" w:sz="4" w:space="0"/>
              <w:left w:val="single" w:color="auto" w:sz="4" w:space="0"/>
              <w:bottom w:val="single" w:color="auto" w:sz="4" w:space="0"/>
              <w:right w:val="single" w:color="auto" w:sz="4" w:space="0"/>
            </w:tcBorders>
            <w:shd w:val="clear" w:color="auto" w:fill="auto"/>
            <w:vAlign w:val="center"/>
          </w:tcPr>
          <w:p w14:paraId="32E7DE66">
            <w:pPr>
              <w:rPr>
                <w:rFonts w:ascii="楷体" w:hAnsi="楷体" w:eastAsia="楷体" w:cs="楷体"/>
                <w:sz w:val="24"/>
                <w:szCs w:val="24"/>
              </w:rPr>
            </w:pPr>
            <w:r>
              <w:rPr>
                <w:rFonts w:hint="eastAsia" w:ascii="楷体" w:hAnsi="楷体" w:eastAsia="楷体" w:cs="楷体"/>
                <w:sz w:val="24"/>
                <w:szCs w:val="24"/>
              </w:rPr>
              <w:t>必要时不配合安全引导、应急疏导等</w:t>
            </w:r>
          </w:p>
        </w:tc>
        <w:tc>
          <w:tcPr>
            <w:tcW w:w="1317" w:type="pct"/>
            <w:tcBorders>
              <w:top w:val="single" w:color="auto" w:sz="4" w:space="0"/>
              <w:left w:val="single" w:color="auto" w:sz="4" w:space="0"/>
              <w:bottom w:val="single" w:color="auto" w:sz="4" w:space="0"/>
              <w:right w:val="single" w:color="auto" w:sz="4" w:space="0"/>
            </w:tcBorders>
            <w:shd w:val="clear" w:color="auto" w:fill="auto"/>
            <w:vAlign w:val="center"/>
          </w:tcPr>
          <w:p w14:paraId="1EB93A42">
            <w:pPr>
              <w:rPr>
                <w:rFonts w:ascii="楷体" w:hAnsi="楷体" w:eastAsia="楷体" w:cs="楷体"/>
                <w:sz w:val="24"/>
                <w:szCs w:val="24"/>
              </w:rPr>
            </w:pPr>
            <w:r>
              <w:rPr>
                <w:rFonts w:hint="eastAsia" w:ascii="楷体" w:hAnsi="楷体" w:eastAsia="楷体" w:cs="楷体"/>
                <w:sz w:val="24"/>
                <w:szCs w:val="24"/>
              </w:rPr>
              <w:t>每处每次1000元</w:t>
            </w:r>
          </w:p>
        </w:tc>
        <w:tc>
          <w:tcPr>
            <w:tcW w:w="626" w:type="pct"/>
            <w:tcBorders>
              <w:top w:val="single" w:color="auto" w:sz="4" w:space="0"/>
              <w:left w:val="single" w:color="auto" w:sz="4" w:space="0"/>
              <w:bottom w:val="single" w:color="auto" w:sz="4" w:space="0"/>
              <w:right w:val="single" w:color="auto" w:sz="4" w:space="0"/>
            </w:tcBorders>
            <w:shd w:val="clear" w:color="auto" w:fill="auto"/>
            <w:vAlign w:val="center"/>
          </w:tcPr>
          <w:p w14:paraId="1D2B0F7D">
            <w:pPr>
              <w:rPr>
                <w:rFonts w:ascii="楷体" w:hAnsi="楷体" w:eastAsia="楷体" w:cs="楷体"/>
                <w:sz w:val="24"/>
                <w:szCs w:val="24"/>
              </w:rPr>
            </w:pPr>
          </w:p>
        </w:tc>
      </w:tr>
      <w:tr w14:paraId="552C3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77" w:type="pct"/>
            <w:tcBorders>
              <w:top w:val="single" w:color="auto" w:sz="4" w:space="0"/>
              <w:left w:val="single" w:color="auto" w:sz="4" w:space="0"/>
              <w:bottom w:val="single" w:color="auto" w:sz="4" w:space="0"/>
              <w:right w:val="single" w:color="auto" w:sz="4" w:space="0"/>
            </w:tcBorders>
            <w:shd w:val="clear" w:color="auto" w:fill="auto"/>
            <w:vAlign w:val="center"/>
          </w:tcPr>
          <w:p w14:paraId="46093846">
            <w:pPr>
              <w:rPr>
                <w:rFonts w:ascii="楷体" w:hAnsi="楷体" w:eastAsia="楷体" w:cs="楷体"/>
                <w:sz w:val="24"/>
                <w:szCs w:val="24"/>
              </w:rPr>
            </w:pPr>
            <w:r>
              <w:rPr>
                <w:rFonts w:hint="eastAsia" w:ascii="楷体" w:hAnsi="楷体" w:eastAsia="楷体" w:cs="楷体"/>
                <w:sz w:val="24"/>
                <w:szCs w:val="24"/>
              </w:rPr>
              <w:t>SG09</w:t>
            </w:r>
          </w:p>
        </w:tc>
        <w:tc>
          <w:tcPr>
            <w:tcW w:w="2378" w:type="pct"/>
            <w:tcBorders>
              <w:top w:val="single" w:color="auto" w:sz="4" w:space="0"/>
              <w:left w:val="single" w:color="auto" w:sz="4" w:space="0"/>
              <w:bottom w:val="single" w:color="auto" w:sz="4" w:space="0"/>
              <w:right w:val="single" w:color="auto" w:sz="4" w:space="0"/>
            </w:tcBorders>
            <w:shd w:val="clear" w:color="auto" w:fill="auto"/>
            <w:vAlign w:val="center"/>
          </w:tcPr>
          <w:p w14:paraId="0BFE1E8B">
            <w:pPr>
              <w:rPr>
                <w:rFonts w:ascii="楷体" w:hAnsi="楷体" w:eastAsia="楷体" w:cs="楷体"/>
                <w:sz w:val="24"/>
                <w:szCs w:val="24"/>
              </w:rPr>
            </w:pPr>
            <w:r>
              <w:rPr>
                <w:rFonts w:hint="eastAsia" w:ascii="楷体" w:hAnsi="楷体" w:eastAsia="楷体" w:cs="楷体"/>
                <w:sz w:val="24"/>
                <w:szCs w:val="24"/>
              </w:rPr>
              <w:t>破坏门禁、监控等设备、材料成品等</w:t>
            </w:r>
          </w:p>
        </w:tc>
        <w:tc>
          <w:tcPr>
            <w:tcW w:w="1317" w:type="pct"/>
            <w:tcBorders>
              <w:top w:val="single" w:color="auto" w:sz="4" w:space="0"/>
              <w:left w:val="single" w:color="auto" w:sz="4" w:space="0"/>
              <w:bottom w:val="single" w:color="auto" w:sz="4" w:space="0"/>
              <w:right w:val="single" w:color="auto" w:sz="4" w:space="0"/>
            </w:tcBorders>
            <w:shd w:val="clear" w:color="auto" w:fill="auto"/>
            <w:vAlign w:val="center"/>
          </w:tcPr>
          <w:p w14:paraId="7B9856C8">
            <w:pPr>
              <w:rPr>
                <w:rFonts w:ascii="楷体" w:hAnsi="楷体" w:eastAsia="楷体" w:cs="楷体"/>
                <w:sz w:val="24"/>
                <w:szCs w:val="24"/>
              </w:rPr>
            </w:pPr>
            <w:r>
              <w:rPr>
                <w:rFonts w:hint="eastAsia" w:ascii="楷体" w:hAnsi="楷体" w:eastAsia="楷体" w:cs="楷体"/>
                <w:sz w:val="24"/>
                <w:szCs w:val="24"/>
              </w:rPr>
              <w:t>每处每次3000元</w:t>
            </w:r>
          </w:p>
        </w:tc>
        <w:tc>
          <w:tcPr>
            <w:tcW w:w="626" w:type="pct"/>
            <w:tcBorders>
              <w:top w:val="single" w:color="auto" w:sz="4" w:space="0"/>
              <w:left w:val="single" w:color="auto" w:sz="4" w:space="0"/>
              <w:bottom w:val="single" w:color="auto" w:sz="4" w:space="0"/>
              <w:right w:val="single" w:color="auto" w:sz="4" w:space="0"/>
            </w:tcBorders>
            <w:shd w:val="clear" w:color="auto" w:fill="auto"/>
            <w:vAlign w:val="center"/>
          </w:tcPr>
          <w:p w14:paraId="110A56A8">
            <w:pPr>
              <w:rPr>
                <w:rFonts w:ascii="楷体" w:hAnsi="楷体" w:eastAsia="楷体" w:cs="楷体"/>
                <w:sz w:val="24"/>
                <w:szCs w:val="24"/>
              </w:rPr>
            </w:pPr>
            <w:r>
              <w:rPr>
                <w:rFonts w:hint="eastAsia" w:ascii="楷体" w:hAnsi="楷体" w:eastAsia="楷体" w:cs="楷体"/>
                <w:sz w:val="24"/>
                <w:szCs w:val="24"/>
              </w:rPr>
              <w:t>损失另计</w:t>
            </w:r>
          </w:p>
        </w:tc>
      </w:tr>
      <w:tr w14:paraId="26AD2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677" w:type="pct"/>
            <w:tcBorders>
              <w:top w:val="single" w:color="auto" w:sz="4" w:space="0"/>
              <w:left w:val="single" w:color="auto" w:sz="4" w:space="0"/>
              <w:bottom w:val="single" w:color="auto" w:sz="4" w:space="0"/>
              <w:right w:val="single" w:color="auto" w:sz="4" w:space="0"/>
            </w:tcBorders>
            <w:shd w:val="clear" w:color="auto" w:fill="auto"/>
            <w:vAlign w:val="center"/>
          </w:tcPr>
          <w:p w14:paraId="2BDB13E5">
            <w:pPr>
              <w:rPr>
                <w:rFonts w:ascii="楷体" w:hAnsi="楷体" w:eastAsia="楷体" w:cs="楷体"/>
                <w:sz w:val="24"/>
                <w:szCs w:val="24"/>
              </w:rPr>
            </w:pPr>
            <w:r>
              <w:rPr>
                <w:rFonts w:hint="eastAsia" w:ascii="楷体" w:hAnsi="楷体" w:eastAsia="楷体" w:cs="楷体"/>
                <w:sz w:val="24"/>
                <w:szCs w:val="24"/>
              </w:rPr>
              <w:t>SG10</w:t>
            </w:r>
          </w:p>
        </w:tc>
        <w:tc>
          <w:tcPr>
            <w:tcW w:w="2378" w:type="pct"/>
            <w:tcBorders>
              <w:top w:val="single" w:color="auto" w:sz="4" w:space="0"/>
              <w:left w:val="single" w:color="auto" w:sz="4" w:space="0"/>
              <w:bottom w:val="single" w:color="auto" w:sz="4" w:space="0"/>
              <w:right w:val="single" w:color="auto" w:sz="4" w:space="0"/>
            </w:tcBorders>
            <w:shd w:val="clear" w:color="auto" w:fill="auto"/>
            <w:vAlign w:val="center"/>
          </w:tcPr>
          <w:p w14:paraId="27DA1338">
            <w:pPr>
              <w:rPr>
                <w:rFonts w:ascii="楷体" w:hAnsi="楷体" w:eastAsia="楷体" w:cs="楷体"/>
                <w:sz w:val="24"/>
                <w:szCs w:val="24"/>
              </w:rPr>
            </w:pPr>
            <w:r>
              <w:rPr>
                <w:rFonts w:hint="eastAsia" w:ascii="楷体" w:hAnsi="楷体" w:eastAsia="楷体" w:cs="楷体"/>
                <w:sz w:val="24"/>
                <w:szCs w:val="24"/>
              </w:rPr>
              <w:t>其他违反国家相关标准或项目管理规定的</w:t>
            </w:r>
          </w:p>
        </w:tc>
        <w:tc>
          <w:tcPr>
            <w:tcW w:w="1317" w:type="pct"/>
            <w:tcBorders>
              <w:top w:val="single" w:color="auto" w:sz="4" w:space="0"/>
              <w:left w:val="single" w:color="auto" w:sz="4" w:space="0"/>
              <w:bottom w:val="single" w:color="auto" w:sz="4" w:space="0"/>
              <w:right w:val="single" w:color="auto" w:sz="4" w:space="0"/>
            </w:tcBorders>
            <w:shd w:val="clear" w:color="auto" w:fill="auto"/>
            <w:vAlign w:val="center"/>
          </w:tcPr>
          <w:p w14:paraId="13AAAB22">
            <w:pPr>
              <w:rPr>
                <w:rFonts w:ascii="楷体" w:hAnsi="楷体" w:eastAsia="楷体" w:cs="楷体"/>
                <w:sz w:val="24"/>
                <w:szCs w:val="24"/>
              </w:rPr>
            </w:pPr>
            <w:r>
              <w:rPr>
                <w:rFonts w:hint="eastAsia" w:ascii="楷体" w:hAnsi="楷体" w:eastAsia="楷体" w:cs="楷体"/>
                <w:sz w:val="24"/>
                <w:szCs w:val="24"/>
              </w:rPr>
              <w:t>每处每次500-10000元</w:t>
            </w:r>
          </w:p>
        </w:tc>
        <w:tc>
          <w:tcPr>
            <w:tcW w:w="626" w:type="pct"/>
            <w:tcBorders>
              <w:top w:val="single" w:color="auto" w:sz="4" w:space="0"/>
              <w:left w:val="single" w:color="auto" w:sz="4" w:space="0"/>
              <w:bottom w:val="single" w:color="auto" w:sz="4" w:space="0"/>
              <w:right w:val="single" w:color="auto" w:sz="4" w:space="0"/>
            </w:tcBorders>
            <w:shd w:val="clear" w:color="auto" w:fill="auto"/>
            <w:vAlign w:val="center"/>
          </w:tcPr>
          <w:p w14:paraId="5D9B35F0">
            <w:pPr>
              <w:rPr>
                <w:rFonts w:ascii="楷体" w:hAnsi="楷体" w:eastAsia="楷体" w:cs="楷体"/>
                <w:sz w:val="24"/>
                <w:szCs w:val="24"/>
              </w:rPr>
            </w:pPr>
          </w:p>
        </w:tc>
      </w:tr>
    </w:tbl>
    <w:p w14:paraId="7D5DAAB2">
      <w:pPr>
        <w:widowControl/>
        <w:jc w:val="left"/>
        <w:rPr>
          <w:rFonts w:ascii="楷体" w:hAnsi="楷体" w:eastAsia="楷体" w:cs="楷体"/>
          <w:bCs/>
          <w:sz w:val="24"/>
          <w:szCs w:val="24"/>
        </w:rPr>
      </w:pPr>
      <w:r>
        <w:rPr>
          <w:rFonts w:hint="eastAsia" w:ascii="楷体" w:hAnsi="楷体" w:eastAsia="楷体" w:cs="楷体"/>
          <w:bCs/>
          <w:sz w:val="24"/>
          <w:szCs w:val="24"/>
          <w:lang w:bidi="ar"/>
        </w:rPr>
        <w:t>4.7.7 施工机械管理</w:t>
      </w:r>
    </w:p>
    <w:tbl>
      <w:tblPr>
        <w:tblStyle w:val="1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4577"/>
        <w:gridCol w:w="2392"/>
        <w:gridCol w:w="1145"/>
      </w:tblGrid>
      <w:tr w14:paraId="6ECBF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1" w:hRule="atLeast"/>
          <w:tblHeader/>
          <w:jc w:val="center"/>
        </w:trPr>
        <w:tc>
          <w:tcPr>
            <w:tcW w:w="548" w:type="pct"/>
            <w:tcBorders>
              <w:top w:val="single" w:color="auto" w:sz="4" w:space="0"/>
              <w:left w:val="single" w:color="auto" w:sz="4" w:space="0"/>
              <w:bottom w:val="single" w:color="auto" w:sz="4" w:space="0"/>
              <w:right w:val="single" w:color="auto" w:sz="4" w:space="0"/>
            </w:tcBorders>
            <w:shd w:val="clear" w:color="auto" w:fill="auto"/>
            <w:vAlign w:val="center"/>
          </w:tcPr>
          <w:p w14:paraId="40A3DBCC">
            <w:pPr>
              <w:rPr>
                <w:rFonts w:ascii="楷体" w:hAnsi="楷体" w:eastAsia="楷体" w:cs="楷体"/>
                <w:sz w:val="24"/>
                <w:szCs w:val="24"/>
              </w:rPr>
            </w:pPr>
            <w:r>
              <w:rPr>
                <w:rFonts w:hint="eastAsia" w:ascii="楷体" w:hAnsi="楷体" w:eastAsia="楷体" w:cs="楷体"/>
                <w:sz w:val="24"/>
                <w:szCs w:val="24"/>
              </w:rPr>
              <w:t>序号</w:t>
            </w:r>
          </w:p>
        </w:tc>
        <w:tc>
          <w:tcPr>
            <w:tcW w:w="2510" w:type="pct"/>
            <w:tcBorders>
              <w:top w:val="single" w:color="auto" w:sz="4" w:space="0"/>
              <w:left w:val="single" w:color="auto" w:sz="4" w:space="0"/>
              <w:bottom w:val="single" w:color="auto" w:sz="4" w:space="0"/>
              <w:right w:val="single" w:color="auto" w:sz="4" w:space="0"/>
            </w:tcBorders>
            <w:shd w:val="clear" w:color="auto" w:fill="auto"/>
            <w:vAlign w:val="center"/>
          </w:tcPr>
          <w:p w14:paraId="3AA7A494">
            <w:pPr>
              <w:rPr>
                <w:rFonts w:ascii="楷体" w:hAnsi="楷体" w:eastAsia="楷体" w:cs="楷体"/>
                <w:sz w:val="24"/>
                <w:szCs w:val="24"/>
              </w:rPr>
            </w:pPr>
            <w:r>
              <w:rPr>
                <w:rFonts w:hint="eastAsia" w:ascii="楷体" w:hAnsi="楷体" w:eastAsia="楷体" w:cs="楷体"/>
                <w:sz w:val="24"/>
                <w:szCs w:val="24"/>
              </w:rPr>
              <w:t>违章内容</w:t>
            </w:r>
          </w:p>
        </w:tc>
        <w:tc>
          <w:tcPr>
            <w:tcW w:w="1312" w:type="pct"/>
            <w:tcBorders>
              <w:top w:val="single" w:color="auto" w:sz="4" w:space="0"/>
              <w:left w:val="single" w:color="auto" w:sz="4" w:space="0"/>
              <w:bottom w:val="single" w:color="auto" w:sz="4" w:space="0"/>
              <w:right w:val="single" w:color="auto" w:sz="4" w:space="0"/>
            </w:tcBorders>
            <w:shd w:val="clear" w:color="auto" w:fill="auto"/>
            <w:vAlign w:val="center"/>
          </w:tcPr>
          <w:p w14:paraId="236E5523">
            <w:pPr>
              <w:rPr>
                <w:rFonts w:ascii="楷体" w:hAnsi="楷体" w:eastAsia="楷体" w:cs="楷体"/>
                <w:sz w:val="24"/>
                <w:szCs w:val="24"/>
              </w:rPr>
            </w:pPr>
            <w:r>
              <w:rPr>
                <w:rFonts w:hint="eastAsia" w:ascii="楷体" w:hAnsi="楷体" w:eastAsia="楷体" w:cs="楷体"/>
                <w:sz w:val="24"/>
                <w:szCs w:val="24"/>
              </w:rPr>
              <w:t>罚款金额</w:t>
            </w:r>
          </w:p>
        </w:tc>
        <w:tc>
          <w:tcPr>
            <w:tcW w:w="628" w:type="pct"/>
            <w:tcBorders>
              <w:top w:val="single" w:color="auto" w:sz="4" w:space="0"/>
              <w:left w:val="single" w:color="auto" w:sz="4" w:space="0"/>
              <w:bottom w:val="single" w:color="auto" w:sz="4" w:space="0"/>
              <w:right w:val="single" w:color="auto" w:sz="4" w:space="0"/>
            </w:tcBorders>
            <w:shd w:val="clear" w:color="auto" w:fill="auto"/>
            <w:vAlign w:val="center"/>
          </w:tcPr>
          <w:p w14:paraId="198E4E5E">
            <w:pPr>
              <w:rPr>
                <w:rFonts w:ascii="楷体" w:hAnsi="楷体" w:eastAsia="楷体" w:cs="楷体"/>
                <w:sz w:val="24"/>
                <w:szCs w:val="24"/>
              </w:rPr>
            </w:pPr>
            <w:r>
              <w:rPr>
                <w:rFonts w:hint="eastAsia" w:ascii="楷体" w:hAnsi="楷体" w:eastAsia="楷体" w:cs="楷体"/>
                <w:sz w:val="24"/>
                <w:szCs w:val="24"/>
              </w:rPr>
              <w:t>备注</w:t>
            </w:r>
          </w:p>
        </w:tc>
      </w:tr>
      <w:tr w14:paraId="6BF73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548" w:type="pct"/>
            <w:tcBorders>
              <w:top w:val="single" w:color="auto" w:sz="4" w:space="0"/>
              <w:left w:val="single" w:color="auto" w:sz="4" w:space="0"/>
              <w:bottom w:val="single" w:color="auto" w:sz="4" w:space="0"/>
              <w:right w:val="single" w:color="auto" w:sz="4" w:space="0"/>
            </w:tcBorders>
            <w:shd w:val="clear" w:color="auto" w:fill="auto"/>
            <w:vAlign w:val="center"/>
          </w:tcPr>
          <w:p w14:paraId="34E99A42">
            <w:pPr>
              <w:rPr>
                <w:rFonts w:ascii="楷体" w:hAnsi="楷体" w:eastAsia="楷体" w:cs="楷体"/>
                <w:sz w:val="24"/>
                <w:szCs w:val="24"/>
              </w:rPr>
            </w:pPr>
            <w:r>
              <w:rPr>
                <w:rFonts w:hint="eastAsia" w:ascii="楷体" w:hAnsi="楷体" w:eastAsia="楷体" w:cs="楷体"/>
                <w:sz w:val="24"/>
                <w:szCs w:val="24"/>
              </w:rPr>
              <w:t>CM01</w:t>
            </w:r>
          </w:p>
        </w:tc>
        <w:tc>
          <w:tcPr>
            <w:tcW w:w="2510" w:type="pct"/>
            <w:tcBorders>
              <w:top w:val="single" w:color="auto" w:sz="4" w:space="0"/>
              <w:left w:val="single" w:color="auto" w:sz="4" w:space="0"/>
              <w:bottom w:val="single" w:color="auto" w:sz="4" w:space="0"/>
              <w:right w:val="single" w:color="auto" w:sz="4" w:space="0"/>
            </w:tcBorders>
            <w:shd w:val="clear" w:color="auto" w:fill="auto"/>
            <w:vAlign w:val="center"/>
          </w:tcPr>
          <w:p w14:paraId="039BB335">
            <w:pPr>
              <w:rPr>
                <w:rFonts w:ascii="楷体" w:hAnsi="楷体" w:eastAsia="楷体" w:cs="楷体"/>
                <w:sz w:val="24"/>
                <w:szCs w:val="24"/>
              </w:rPr>
            </w:pPr>
            <w:r>
              <w:rPr>
                <w:rFonts w:hint="eastAsia" w:ascii="楷体" w:hAnsi="楷体" w:eastAsia="楷体" w:cs="楷体"/>
                <w:sz w:val="24"/>
                <w:szCs w:val="24"/>
              </w:rPr>
              <w:t>进场设备、机械未进行报审验收的</w:t>
            </w:r>
          </w:p>
        </w:tc>
        <w:tc>
          <w:tcPr>
            <w:tcW w:w="1312" w:type="pct"/>
            <w:tcBorders>
              <w:top w:val="single" w:color="auto" w:sz="4" w:space="0"/>
              <w:left w:val="single" w:color="auto" w:sz="4" w:space="0"/>
              <w:bottom w:val="single" w:color="auto" w:sz="4" w:space="0"/>
              <w:right w:val="single" w:color="auto" w:sz="4" w:space="0"/>
            </w:tcBorders>
            <w:shd w:val="clear" w:color="auto" w:fill="auto"/>
            <w:vAlign w:val="center"/>
          </w:tcPr>
          <w:p w14:paraId="1685B103">
            <w:pPr>
              <w:rPr>
                <w:rFonts w:ascii="楷体" w:hAnsi="楷体" w:eastAsia="楷体" w:cs="楷体"/>
                <w:sz w:val="24"/>
                <w:szCs w:val="24"/>
              </w:rPr>
            </w:pPr>
            <w:r>
              <w:rPr>
                <w:rFonts w:hint="eastAsia" w:ascii="楷体" w:hAnsi="楷体" w:eastAsia="楷体" w:cs="楷体"/>
                <w:sz w:val="24"/>
                <w:szCs w:val="24"/>
              </w:rPr>
              <w:t>每处每次1000元</w:t>
            </w:r>
          </w:p>
        </w:tc>
        <w:tc>
          <w:tcPr>
            <w:tcW w:w="628" w:type="pct"/>
            <w:tcBorders>
              <w:top w:val="single" w:color="auto" w:sz="4" w:space="0"/>
              <w:left w:val="single" w:color="auto" w:sz="4" w:space="0"/>
              <w:bottom w:val="single" w:color="auto" w:sz="4" w:space="0"/>
              <w:right w:val="single" w:color="auto" w:sz="4" w:space="0"/>
            </w:tcBorders>
            <w:shd w:val="clear" w:color="auto" w:fill="auto"/>
            <w:vAlign w:val="center"/>
          </w:tcPr>
          <w:p w14:paraId="6A8D669A">
            <w:pPr>
              <w:rPr>
                <w:rFonts w:ascii="楷体" w:hAnsi="楷体" w:eastAsia="楷体" w:cs="楷体"/>
                <w:sz w:val="24"/>
                <w:szCs w:val="24"/>
              </w:rPr>
            </w:pPr>
          </w:p>
        </w:tc>
      </w:tr>
      <w:tr w14:paraId="5EAB8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548" w:type="pct"/>
            <w:tcBorders>
              <w:top w:val="single" w:color="auto" w:sz="4" w:space="0"/>
              <w:left w:val="single" w:color="auto" w:sz="4" w:space="0"/>
              <w:bottom w:val="single" w:color="auto" w:sz="4" w:space="0"/>
              <w:right w:val="single" w:color="auto" w:sz="4" w:space="0"/>
            </w:tcBorders>
            <w:shd w:val="clear" w:color="auto" w:fill="auto"/>
            <w:vAlign w:val="center"/>
          </w:tcPr>
          <w:p w14:paraId="41F103E2">
            <w:pPr>
              <w:rPr>
                <w:rFonts w:ascii="楷体" w:hAnsi="楷体" w:eastAsia="楷体" w:cs="楷体"/>
                <w:sz w:val="24"/>
                <w:szCs w:val="24"/>
              </w:rPr>
            </w:pPr>
            <w:r>
              <w:rPr>
                <w:rFonts w:hint="eastAsia" w:ascii="楷体" w:hAnsi="楷体" w:eastAsia="楷体" w:cs="楷体"/>
                <w:sz w:val="24"/>
                <w:szCs w:val="24"/>
              </w:rPr>
              <w:t>CM02</w:t>
            </w:r>
          </w:p>
        </w:tc>
        <w:tc>
          <w:tcPr>
            <w:tcW w:w="2510" w:type="pct"/>
            <w:tcBorders>
              <w:top w:val="single" w:color="auto" w:sz="4" w:space="0"/>
              <w:left w:val="single" w:color="auto" w:sz="4" w:space="0"/>
              <w:bottom w:val="single" w:color="auto" w:sz="4" w:space="0"/>
              <w:right w:val="single" w:color="auto" w:sz="4" w:space="0"/>
            </w:tcBorders>
            <w:shd w:val="clear" w:color="auto" w:fill="auto"/>
            <w:vAlign w:val="center"/>
          </w:tcPr>
          <w:p w14:paraId="3700B674">
            <w:pPr>
              <w:rPr>
                <w:rFonts w:ascii="楷体" w:hAnsi="楷体" w:eastAsia="楷体" w:cs="楷体"/>
                <w:sz w:val="24"/>
                <w:szCs w:val="24"/>
              </w:rPr>
            </w:pPr>
            <w:r>
              <w:rPr>
                <w:rFonts w:hint="eastAsia" w:ascii="楷体" w:hAnsi="楷体" w:eastAsia="楷体" w:cs="楷体"/>
                <w:sz w:val="24"/>
                <w:szCs w:val="24"/>
              </w:rPr>
              <w:t>施工机具机械危险部位缺少安全装置</w:t>
            </w:r>
          </w:p>
        </w:tc>
        <w:tc>
          <w:tcPr>
            <w:tcW w:w="1312" w:type="pct"/>
            <w:tcBorders>
              <w:top w:val="single" w:color="auto" w:sz="4" w:space="0"/>
              <w:left w:val="single" w:color="auto" w:sz="4" w:space="0"/>
              <w:bottom w:val="single" w:color="auto" w:sz="4" w:space="0"/>
              <w:right w:val="single" w:color="auto" w:sz="4" w:space="0"/>
            </w:tcBorders>
            <w:shd w:val="clear" w:color="auto" w:fill="auto"/>
            <w:vAlign w:val="center"/>
          </w:tcPr>
          <w:p w14:paraId="18727BE0">
            <w:pPr>
              <w:rPr>
                <w:rFonts w:ascii="楷体" w:hAnsi="楷体" w:eastAsia="楷体" w:cs="楷体"/>
                <w:sz w:val="24"/>
                <w:szCs w:val="24"/>
              </w:rPr>
            </w:pPr>
            <w:r>
              <w:rPr>
                <w:rFonts w:hint="eastAsia" w:ascii="楷体" w:hAnsi="楷体" w:eastAsia="楷体" w:cs="楷体"/>
                <w:sz w:val="24"/>
                <w:szCs w:val="24"/>
              </w:rPr>
              <w:t>每处每次1000元</w:t>
            </w:r>
          </w:p>
        </w:tc>
        <w:tc>
          <w:tcPr>
            <w:tcW w:w="628" w:type="pct"/>
            <w:tcBorders>
              <w:top w:val="single" w:color="auto" w:sz="4" w:space="0"/>
              <w:left w:val="single" w:color="auto" w:sz="4" w:space="0"/>
              <w:bottom w:val="single" w:color="auto" w:sz="4" w:space="0"/>
              <w:right w:val="single" w:color="auto" w:sz="4" w:space="0"/>
            </w:tcBorders>
            <w:shd w:val="clear" w:color="auto" w:fill="auto"/>
            <w:vAlign w:val="center"/>
          </w:tcPr>
          <w:p w14:paraId="08980E5F">
            <w:pPr>
              <w:rPr>
                <w:rFonts w:ascii="楷体" w:hAnsi="楷体" w:eastAsia="楷体" w:cs="楷体"/>
                <w:sz w:val="24"/>
                <w:szCs w:val="24"/>
              </w:rPr>
            </w:pPr>
          </w:p>
        </w:tc>
      </w:tr>
      <w:tr w14:paraId="3759A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548" w:type="pct"/>
            <w:tcBorders>
              <w:top w:val="single" w:color="auto" w:sz="4" w:space="0"/>
              <w:left w:val="single" w:color="auto" w:sz="4" w:space="0"/>
              <w:bottom w:val="single" w:color="auto" w:sz="4" w:space="0"/>
              <w:right w:val="single" w:color="auto" w:sz="4" w:space="0"/>
            </w:tcBorders>
            <w:shd w:val="clear" w:color="auto" w:fill="auto"/>
            <w:vAlign w:val="center"/>
          </w:tcPr>
          <w:p w14:paraId="72344E8D">
            <w:pPr>
              <w:rPr>
                <w:rFonts w:ascii="楷体" w:hAnsi="楷体" w:eastAsia="楷体" w:cs="楷体"/>
                <w:sz w:val="24"/>
                <w:szCs w:val="24"/>
              </w:rPr>
            </w:pPr>
            <w:r>
              <w:rPr>
                <w:rFonts w:hint="eastAsia" w:ascii="楷体" w:hAnsi="楷体" w:eastAsia="楷体" w:cs="楷体"/>
                <w:sz w:val="24"/>
                <w:szCs w:val="24"/>
              </w:rPr>
              <w:t>CM03</w:t>
            </w:r>
          </w:p>
        </w:tc>
        <w:tc>
          <w:tcPr>
            <w:tcW w:w="2510" w:type="pct"/>
            <w:tcBorders>
              <w:top w:val="single" w:color="auto" w:sz="4" w:space="0"/>
              <w:left w:val="single" w:color="auto" w:sz="4" w:space="0"/>
              <w:bottom w:val="single" w:color="auto" w:sz="4" w:space="0"/>
              <w:right w:val="single" w:color="auto" w:sz="4" w:space="0"/>
            </w:tcBorders>
            <w:shd w:val="clear" w:color="auto" w:fill="auto"/>
            <w:vAlign w:val="center"/>
          </w:tcPr>
          <w:p w14:paraId="3A7C3397">
            <w:pPr>
              <w:rPr>
                <w:rFonts w:ascii="楷体" w:hAnsi="楷体" w:eastAsia="楷体" w:cs="楷体"/>
                <w:sz w:val="24"/>
                <w:szCs w:val="24"/>
              </w:rPr>
            </w:pPr>
            <w:r>
              <w:rPr>
                <w:rFonts w:hint="eastAsia" w:ascii="楷体" w:hAnsi="楷体" w:eastAsia="楷体" w:cs="楷体"/>
                <w:sz w:val="24"/>
                <w:szCs w:val="24"/>
              </w:rPr>
              <w:t>施工机械机具未按照规范要求接地保护</w:t>
            </w:r>
          </w:p>
        </w:tc>
        <w:tc>
          <w:tcPr>
            <w:tcW w:w="1312" w:type="pct"/>
            <w:tcBorders>
              <w:top w:val="single" w:color="auto" w:sz="4" w:space="0"/>
              <w:left w:val="single" w:color="auto" w:sz="4" w:space="0"/>
              <w:bottom w:val="single" w:color="auto" w:sz="4" w:space="0"/>
              <w:right w:val="single" w:color="auto" w:sz="4" w:space="0"/>
            </w:tcBorders>
            <w:shd w:val="clear" w:color="auto" w:fill="auto"/>
            <w:vAlign w:val="center"/>
          </w:tcPr>
          <w:p w14:paraId="15A66CBF">
            <w:pPr>
              <w:rPr>
                <w:rFonts w:ascii="楷体" w:hAnsi="楷体" w:eastAsia="楷体" w:cs="楷体"/>
                <w:sz w:val="24"/>
                <w:szCs w:val="24"/>
              </w:rPr>
            </w:pPr>
            <w:r>
              <w:rPr>
                <w:rFonts w:hint="eastAsia" w:ascii="楷体" w:hAnsi="楷体" w:eastAsia="楷体" w:cs="楷体"/>
                <w:sz w:val="24"/>
                <w:szCs w:val="24"/>
              </w:rPr>
              <w:t>每处每次500元</w:t>
            </w:r>
          </w:p>
        </w:tc>
        <w:tc>
          <w:tcPr>
            <w:tcW w:w="628" w:type="pct"/>
            <w:tcBorders>
              <w:top w:val="single" w:color="auto" w:sz="4" w:space="0"/>
              <w:left w:val="single" w:color="auto" w:sz="4" w:space="0"/>
              <w:bottom w:val="single" w:color="auto" w:sz="4" w:space="0"/>
              <w:right w:val="single" w:color="auto" w:sz="4" w:space="0"/>
            </w:tcBorders>
            <w:shd w:val="clear" w:color="auto" w:fill="auto"/>
            <w:vAlign w:val="center"/>
          </w:tcPr>
          <w:p w14:paraId="42D1347D">
            <w:pPr>
              <w:rPr>
                <w:rFonts w:ascii="楷体" w:hAnsi="楷体" w:eastAsia="楷体" w:cs="楷体"/>
                <w:sz w:val="24"/>
                <w:szCs w:val="24"/>
              </w:rPr>
            </w:pPr>
          </w:p>
        </w:tc>
      </w:tr>
      <w:tr w14:paraId="67BB9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48" w:type="pct"/>
            <w:tcBorders>
              <w:top w:val="single" w:color="auto" w:sz="4" w:space="0"/>
              <w:left w:val="single" w:color="auto" w:sz="4" w:space="0"/>
              <w:bottom w:val="single" w:color="auto" w:sz="4" w:space="0"/>
              <w:right w:val="single" w:color="auto" w:sz="4" w:space="0"/>
            </w:tcBorders>
            <w:shd w:val="clear" w:color="auto" w:fill="auto"/>
            <w:vAlign w:val="center"/>
          </w:tcPr>
          <w:p w14:paraId="2D03541A">
            <w:pPr>
              <w:rPr>
                <w:rFonts w:ascii="楷体" w:hAnsi="楷体" w:eastAsia="楷体" w:cs="楷体"/>
                <w:sz w:val="24"/>
                <w:szCs w:val="24"/>
              </w:rPr>
            </w:pPr>
            <w:r>
              <w:rPr>
                <w:rFonts w:hint="eastAsia" w:ascii="楷体" w:hAnsi="楷体" w:eastAsia="楷体" w:cs="楷体"/>
                <w:sz w:val="24"/>
                <w:szCs w:val="24"/>
              </w:rPr>
              <w:t>CM04</w:t>
            </w:r>
          </w:p>
        </w:tc>
        <w:tc>
          <w:tcPr>
            <w:tcW w:w="2510" w:type="pct"/>
            <w:tcBorders>
              <w:top w:val="single" w:color="auto" w:sz="4" w:space="0"/>
              <w:left w:val="single" w:color="auto" w:sz="4" w:space="0"/>
              <w:bottom w:val="single" w:color="auto" w:sz="4" w:space="0"/>
              <w:right w:val="single" w:color="auto" w:sz="4" w:space="0"/>
            </w:tcBorders>
            <w:shd w:val="clear" w:color="auto" w:fill="auto"/>
            <w:vAlign w:val="center"/>
          </w:tcPr>
          <w:p w14:paraId="5764FEAE">
            <w:pPr>
              <w:rPr>
                <w:rFonts w:ascii="楷体" w:hAnsi="楷体" w:eastAsia="楷体" w:cs="楷体"/>
                <w:sz w:val="24"/>
                <w:szCs w:val="24"/>
              </w:rPr>
            </w:pPr>
            <w:r>
              <w:rPr>
                <w:rFonts w:hint="eastAsia" w:ascii="楷体" w:hAnsi="楷体" w:eastAsia="楷体" w:cs="楷体"/>
                <w:sz w:val="24"/>
                <w:szCs w:val="24"/>
              </w:rPr>
              <w:t>特种设备未定期检测并购置保险</w:t>
            </w:r>
          </w:p>
        </w:tc>
        <w:tc>
          <w:tcPr>
            <w:tcW w:w="1312" w:type="pct"/>
            <w:tcBorders>
              <w:top w:val="single" w:color="auto" w:sz="4" w:space="0"/>
              <w:left w:val="single" w:color="auto" w:sz="4" w:space="0"/>
              <w:bottom w:val="single" w:color="auto" w:sz="4" w:space="0"/>
              <w:right w:val="single" w:color="auto" w:sz="4" w:space="0"/>
            </w:tcBorders>
            <w:shd w:val="clear" w:color="auto" w:fill="auto"/>
            <w:vAlign w:val="center"/>
          </w:tcPr>
          <w:p w14:paraId="57FD560F">
            <w:pPr>
              <w:rPr>
                <w:rFonts w:ascii="楷体" w:hAnsi="楷体" w:eastAsia="楷体" w:cs="楷体"/>
                <w:sz w:val="24"/>
                <w:szCs w:val="24"/>
              </w:rPr>
            </w:pPr>
            <w:r>
              <w:rPr>
                <w:rFonts w:hint="eastAsia" w:ascii="楷体" w:hAnsi="楷体" w:eastAsia="楷体" w:cs="楷体"/>
                <w:sz w:val="24"/>
                <w:szCs w:val="24"/>
              </w:rPr>
              <w:t>每处每次5000元</w:t>
            </w:r>
          </w:p>
        </w:tc>
        <w:tc>
          <w:tcPr>
            <w:tcW w:w="628" w:type="pct"/>
            <w:tcBorders>
              <w:top w:val="single" w:color="auto" w:sz="4" w:space="0"/>
              <w:left w:val="single" w:color="auto" w:sz="4" w:space="0"/>
              <w:bottom w:val="single" w:color="auto" w:sz="4" w:space="0"/>
              <w:right w:val="single" w:color="auto" w:sz="4" w:space="0"/>
            </w:tcBorders>
            <w:shd w:val="clear" w:color="auto" w:fill="auto"/>
            <w:vAlign w:val="center"/>
          </w:tcPr>
          <w:p w14:paraId="6111A71A">
            <w:pPr>
              <w:rPr>
                <w:rFonts w:ascii="楷体" w:hAnsi="楷体" w:eastAsia="楷体" w:cs="楷体"/>
                <w:sz w:val="24"/>
                <w:szCs w:val="24"/>
              </w:rPr>
            </w:pPr>
          </w:p>
        </w:tc>
      </w:tr>
      <w:tr w14:paraId="033ED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jc w:val="center"/>
        </w:trPr>
        <w:tc>
          <w:tcPr>
            <w:tcW w:w="548" w:type="pct"/>
            <w:tcBorders>
              <w:top w:val="single" w:color="auto" w:sz="4" w:space="0"/>
              <w:left w:val="single" w:color="auto" w:sz="4" w:space="0"/>
              <w:bottom w:val="single" w:color="auto" w:sz="4" w:space="0"/>
              <w:right w:val="single" w:color="auto" w:sz="4" w:space="0"/>
            </w:tcBorders>
            <w:shd w:val="clear" w:color="auto" w:fill="auto"/>
            <w:vAlign w:val="center"/>
          </w:tcPr>
          <w:p w14:paraId="61A41E86">
            <w:pPr>
              <w:rPr>
                <w:rFonts w:ascii="楷体" w:hAnsi="楷体" w:eastAsia="楷体" w:cs="楷体"/>
                <w:sz w:val="24"/>
                <w:szCs w:val="24"/>
              </w:rPr>
            </w:pPr>
            <w:r>
              <w:rPr>
                <w:rFonts w:hint="eastAsia" w:ascii="楷体" w:hAnsi="楷体" w:eastAsia="楷体" w:cs="楷体"/>
                <w:sz w:val="24"/>
                <w:szCs w:val="24"/>
              </w:rPr>
              <w:t>CM05</w:t>
            </w:r>
          </w:p>
        </w:tc>
        <w:tc>
          <w:tcPr>
            <w:tcW w:w="2510" w:type="pct"/>
            <w:tcBorders>
              <w:top w:val="single" w:color="auto" w:sz="4" w:space="0"/>
              <w:left w:val="single" w:color="auto" w:sz="4" w:space="0"/>
              <w:bottom w:val="single" w:color="auto" w:sz="4" w:space="0"/>
              <w:right w:val="single" w:color="auto" w:sz="4" w:space="0"/>
            </w:tcBorders>
            <w:shd w:val="clear" w:color="auto" w:fill="auto"/>
            <w:vAlign w:val="center"/>
          </w:tcPr>
          <w:p w14:paraId="79686DC2">
            <w:pPr>
              <w:rPr>
                <w:rFonts w:ascii="楷体" w:hAnsi="楷体" w:eastAsia="楷体" w:cs="楷体"/>
                <w:sz w:val="24"/>
                <w:szCs w:val="24"/>
              </w:rPr>
            </w:pPr>
            <w:r>
              <w:rPr>
                <w:rFonts w:hint="eastAsia" w:ascii="楷体" w:hAnsi="楷体" w:eastAsia="楷体" w:cs="楷体"/>
                <w:sz w:val="24"/>
                <w:szCs w:val="24"/>
              </w:rPr>
              <w:t>私自改装机械、机具</w:t>
            </w:r>
          </w:p>
        </w:tc>
        <w:tc>
          <w:tcPr>
            <w:tcW w:w="1312" w:type="pct"/>
            <w:tcBorders>
              <w:top w:val="single" w:color="auto" w:sz="4" w:space="0"/>
              <w:left w:val="single" w:color="auto" w:sz="4" w:space="0"/>
              <w:bottom w:val="single" w:color="auto" w:sz="4" w:space="0"/>
              <w:right w:val="single" w:color="auto" w:sz="4" w:space="0"/>
            </w:tcBorders>
            <w:shd w:val="clear" w:color="auto" w:fill="auto"/>
            <w:vAlign w:val="center"/>
          </w:tcPr>
          <w:p w14:paraId="296416B0">
            <w:pPr>
              <w:rPr>
                <w:rFonts w:ascii="楷体" w:hAnsi="楷体" w:eastAsia="楷体" w:cs="楷体"/>
                <w:sz w:val="24"/>
                <w:szCs w:val="24"/>
              </w:rPr>
            </w:pPr>
            <w:r>
              <w:rPr>
                <w:rFonts w:hint="eastAsia" w:ascii="楷体" w:hAnsi="楷体" w:eastAsia="楷体" w:cs="楷体"/>
                <w:sz w:val="24"/>
                <w:szCs w:val="24"/>
              </w:rPr>
              <w:t>每处每次1000元</w:t>
            </w:r>
          </w:p>
        </w:tc>
        <w:tc>
          <w:tcPr>
            <w:tcW w:w="628" w:type="pct"/>
            <w:tcBorders>
              <w:top w:val="single" w:color="auto" w:sz="4" w:space="0"/>
              <w:left w:val="single" w:color="auto" w:sz="4" w:space="0"/>
              <w:bottom w:val="single" w:color="auto" w:sz="4" w:space="0"/>
              <w:right w:val="single" w:color="auto" w:sz="4" w:space="0"/>
            </w:tcBorders>
            <w:shd w:val="clear" w:color="auto" w:fill="auto"/>
            <w:vAlign w:val="center"/>
          </w:tcPr>
          <w:p w14:paraId="0B27A638">
            <w:pPr>
              <w:rPr>
                <w:rFonts w:ascii="楷体" w:hAnsi="楷体" w:eastAsia="楷体" w:cs="楷体"/>
                <w:sz w:val="24"/>
                <w:szCs w:val="24"/>
              </w:rPr>
            </w:pPr>
          </w:p>
        </w:tc>
      </w:tr>
      <w:tr w14:paraId="1976B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548" w:type="pct"/>
            <w:tcBorders>
              <w:top w:val="single" w:color="auto" w:sz="4" w:space="0"/>
              <w:left w:val="single" w:color="auto" w:sz="4" w:space="0"/>
              <w:bottom w:val="single" w:color="auto" w:sz="4" w:space="0"/>
              <w:right w:val="single" w:color="auto" w:sz="4" w:space="0"/>
            </w:tcBorders>
            <w:shd w:val="clear" w:color="auto" w:fill="auto"/>
            <w:vAlign w:val="center"/>
          </w:tcPr>
          <w:p w14:paraId="7F5A9AF6">
            <w:pPr>
              <w:rPr>
                <w:rFonts w:ascii="楷体" w:hAnsi="楷体" w:eastAsia="楷体" w:cs="楷体"/>
                <w:sz w:val="24"/>
                <w:szCs w:val="24"/>
              </w:rPr>
            </w:pPr>
            <w:r>
              <w:rPr>
                <w:rFonts w:hint="eastAsia" w:ascii="楷体" w:hAnsi="楷体" w:eastAsia="楷体" w:cs="楷体"/>
                <w:sz w:val="24"/>
                <w:szCs w:val="24"/>
              </w:rPr>
              <w:t>CM06</w:t>
            </w:r>
          </w:p>
        </w:tc>
        <w:tc>
          <w:tcPr>
            <w:tcW w:w="2510" w:type="pct"/>
            <w:tcBorders>
              <w:top w:val="single" w:color="auto" w:sz="4" w:space="0"/>
              <w:left w:val="single" w:color="auto" w:sz="4" w:space="0"/>
              <w:bottom w:val="single" w:color="auto" w:sz="4" w:space="0"/>
              <w:right w:val="single" w:color="auto" w:sz="4" w:space="0"/>
            </w:tcBorders>
            <w:shd w:val="clear" w:color="auto" w:fill="auto"/>
            <w:vAlign w:val="center"/>
          </w:tcPr>
          <w:p w14:paraId="7220F5C7">
            <w:pPr>
              <w:rPr>
                <w:rFonts w:ascii="楷体" w:hAnsi="楷体" w:eastAsia="楷体" w:cs="楷体"/>
                <w:sz w:val="24"/>
                <w:szCs w:val="24"/>
              </w:rPr>
            </w:pPr>
            <w:r>
              <w:rPr>
                <w:rFonts w:hint="eastAsia" w:ascii="楷体" w:hAnsi="楷体" w:eastAsia="楷体" w:cs="楷体"/>
                <w:sz w:val="24"/>
                <w:szCs w:val="24"/>
              </w:rPr>
              <w:t>平刨、塔吊、吊篮等机具 机械安装完成未经过检测验收直接投入使用</w:t>
            </w:r>
          </w:p>
        </w:tc>
        <w:tc>
          <w:tcPr>
            <w:tcW w:w="1312" w:type="pct"/>
            <w:tcBorders>
              <w:top w:val="single" w:color="auto" w:sz="4" w:space="0"/>
              <w:left w:val="single" w:color="auto" w:sz="4" w:space="0"/>
              <w:bottom w:val="single" w:color="auto" w:sz="4" w:space="0"/>
              <w:right w:val="single" w:color="auto" w:sz="4" w:space="0"/>
            </w:tcBorders>
            <w:shd w:val="clear" w:color="auto" w:fill="auto"/>
            <w:vAlign w:val="center"/>
          </w:tcPr>
          <w:p w14:paraId="142F51CA">
            <w:pPr>
              <w:rPr>
                <w:rFonts w:ascii="楷体" w:hAnsi="楷体" w:eastAsia="楷体" w:cs="楷体"/>
                <w:sz w:val="24"/>
                <w:szCs w:val="24"/>
              </w:rPr>
            </w:pPr>
            <w:r>
              <w:rPr>
                <w:rFonts w:hint="eastAsia" w:ascii="楷体" w:hAnsi="楷体" w:eastAsia="楷体" w:cs="楷体"/>
                <w:sz w:val="24"/>
                <w:szCs w:val="24"/>
              </w:rPr>
              <w:t>每处每次2000元</w:t>
            </w:r>
          </w:p>
        </w:tc>
        <w:tc>
          <w:tcPr>
            <w:tcW w:w="628" w:type="pct"/>
            <w:tcBorders>
              <w:top w:val="single" w:color="auto" w:sz="4" w:space="0"/>
              <w:left w:val="single" w:color="auto" w:sz="4" w:space="0"/>
              <w:bottom w:val="single" w:color="auto" w:sz="4" w:space="0"/>
              <w:right w:val="single" w:color="auto" w:sz="4" w:space="0"/>
            </w:tcBorders>
            <w:shd w:val="clear" w:color="auto" w:fill="auto"/>
            <w:vAlign w:val="center"/>
          </w:tcPr>
          <w:p w14:paraId="671D72BA">
            <w:pPr>
              <w:rPr>
                <w:rFonts w:ascii="楷体" w:hAnsi="楷体" w:eastAsia="楷体" w:cs="楷体"/>
                <w:sz w:val="24"/>
                <w:szCs w:val="24"/>
              </w:rPr>
            </w:pPr>
          </w:p>
        </w:tc>
      </w:tr>
      <w:tr w14:paraId="07008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548" w:type="pct"/>
            <w:tcBorders>
              <w:top w:val="single" w:color="auto" w:sz="4" w:space="0"/>
              <w:left w:val="single" w:color="auto" w:sz="4" w:space="0"/>
              <w:bottom w:val="single" w:color="auto" w:sz="4" w:space="0"/>
              <w:right w:val="single" w:color="auto" w:sz="4" w:space="0"/>
            </w:tcBorders>
            <w:shd w:val="clear" w:color="auto" w:fill="auto"/>
            <w:vAlign w:val="center"/>
          </w:tcPr>
          <w:p w14:paraId="431A6EB2">
            <w:pPr>
              <w:rPr>
                <w:rFonts w:ascii="楷体" w:hAnsi="楷体" w:eastAsia="楷体" w:cs="楷体"/>
                <w:sz w:val="24"/>
                <w:szCs w:val="24"/>
              </w:rPr>
            </w:pPr>
            <w:r>
              <w:rPr>
                <w:rFonts w:hint="eastAsia" w:ascii="楷体" w:hAnsi="楷体" w:eastAsia="楷体" w:cs="楷体"/>
                <w:sz w:val="24"/>
                <w:szCs w:val="24"/>
              </w:rPr>
              <w:t>CM07</w:t>
            </w:r>
          </w:p>
        </w:tc>
        <w:tc>
          <w:tcPr>
            <w:tcW w:w="2510" w:type="pct"/>
            <w:tcBorders>
              <w:top w:val="single" w:color="auto" w:sz="4" w:space="0"/>
              <w:left w:val="single" w:color="auto" w:sz="4" w:space="0"/>
              <w:bottom w:val="single" w:color="auto" w:sz="4" w:space="0"/>
              <w:right w:val="single" w:color="auto" w:sz="4" w:space="0"/>
            </w:tcBorders>
            <w:shd w:val="clear" w:color="auto" w:fill="auto"/>
            <w:vAlign w:val="center"/>
          </w:tcPr>
          <w:p w14:paraId="7E060670">
            <w:pPr>
              <w:rPr>
                <w:rFonts w:ascii="楷体" w:hAnsi="楷体" w:eastAsia="楷体" w:cs="楷体"/>
                <w:sz w:val="24"/>
                <w:szCs w:val="24"/>
              </w:rPr>
            </w:pPr>
            <w:r>
              <w:rPr>
                <w:rFonts w:hint="eastAsia" w:ascii="楷体" w:hAnsi="楷体" w:eastAsia="楷体" w:cs="楷体"/>
                <w:sz w:val="24"/>
                <w:szCs w:val="24"/>
              </w:rPr>
              <w:t>违反操作规程操作机械、设备、机具等</w:t>
            </w:r>
          </w:p>
        </w:tc>
        <w:tc>
          <w:tcPr>
            <w:tcW w:w="1312" w:type="pct"/>
            <w:tcBorders>
              <w:top w:val="single" w:color="auto" w:sz="4" w:space="0"/>
              <w:left w:val="single" w:color="auto" w:sz="4" w:space="0"/>
              <w:bottom w:val="single" w:color="auto" w:sz="4" w:space="0"/>
              <w:right w:val="single" w:color="auto" w:sz="4" w:space="0"/>
            </w:tcBorders>
            <w:shd w:val="clear" w:color="auto" w:fill="auto"/>
            <w:vAlign w:val="center"/>
          </w:tcPr>
          <w:p w14:paraId="4C3BD017">
            <w:pPr>
              <w:rPr>
                <w:rFonts w:ascii="楷体" w:hAnsi="楷体" w:eastAsia="楷体" w:cs="楷体"/>
                <w:sz w:val="24"/>
                <w:szCs w:val="24"/>
              </w:rPr>
            </w:pPr>
            <w:r>
              <w:rPr>
                <w:rFonts w:hint="eastAsia" w:ascii="楷体" w:hAnsi="楷体" w:eastAsia="楷体" w:cs="楷体"/>
                <w:sz w:val="24"/>
                <w:szCs w:val="24"/>
              </w:rPr>
              <w:t>每处每次1000元</w:t>
            </w:r>
          </w:p>
        </w:tc>
        <w:tc>
          <w:tcPr>
            <w:tcW w:w="628" w:type="pct"/>
            <w:tcBorders>
              <w:top w:val="single" w:color="auto" w:sz="4" w:space="0"/>
              <w:left w:val="single" w:color="auto" w:sz="4" w:space="0"/>
              <w:bottom w:val="single" w:color="auto" w:sz="4" w:space="0"/>
              <w:right w:val="single" w:color="auto" w:sz="4" w:space="0"/>
            </w:tcBorders>
            <w:shd w:val="clear" w:color="auto" w:fill="auto"/>
            <w:vAlign w:val="center"/>
          </w:tcPr>
          <w:p w14:paraId="3769A979">
            <w:pPr>
              <w:rPr>
                <w:rFonts w:ascii="楷体" w:hAnsi="楷体" w:eastAsia="楷体" w:cs="楷体"/>
                <w:sz w:val="24"/>
                <w:szCs w:val="24"/>
              </w:rPr>
            </w:pPr>
          </w:p>
        </w:tc>
      </w:tr>
      <w:tr w14:paraId="7694E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548" w:type="pct"/>
            <w:tcBorders>
              <w:top w:val="single" w:color="auto" w:sz="4" w:space="0"/>
              <w:left w:val="single" w:color="auto" w:sz="4" w:space="0"/>
              <w:bottom w:val="single" w:color="auto" w:sz="4" w:space="0"/>
              <w:right w:val="single" w:color="auto" w:sz="4" w:space="0"/>
            </w:tcBorders>
            <w:shd w:val="clear" w:color="auto" w:fill="auto"/>
            <w:vAlign w:val="center"/>
          </w:tcPr>
          <w:p w14:paraId="1BB27612">
            <w:pPr>
              <w:rPr>
                <w:rFonts w:ascii="楷体" w:hAnsi="楷体" w:eastAsia="楷体" w:cs="楷体"/>
                <w:sz w:val="24"/>
                <w:szCs w:val="24"/>
              </w:rPr>
            </w:pPr>
            <w:r>
              <w:rPr>
                <w:rFonts w:hint="eastAsia" w:ascii="楷体" w:hAnsi="楷体" w:eastAsia="楷体" w:cs="楷体"/>
                <w:sz w:val="24"/>
                <w:szCs w:val="24"/>
              </w:rPr>
              <w:t>CM08</w:t>
            </w:r>
          </w:p>
        </w:tc>
        <w:tc>
          <w:tcPr>
            <w:tcW w:w="2510" w:type="pct"/>
            <w:tcBorders>
              <w:top w:val="single" w:color="auto" w:sz="4" w:space="0"/>
              <w:left w:val="single" w:color="auto" w:sz="4" w:space="0"/>
              <w:bottom w:val="single" w:color="auto" w:sz="4" w:space="0"/>
              <w:right w:val="single" w:color="auto" w:sz="4" w:space="0"/>
            </w:tcBorders>
            <w:shd w:val="clear" w:color="auto" w:fill="auto"/>
            <w:vAlign w:val="center"/>
          </w:tcPr>
          <w:p w14:paraId="7060F23E">
            <w:pPr>
              <w:rPr>
                <w:rFonts w:ascii="楷体" w:hAnsi="楷体" w:eastAsia="楷体" w:cs="楷体"/>
                <w:sz w:val="24"/>
                <w:szCs w:val="24"/>
              </w:rPr>
            </w:pPr>
            <w:r>
              <w:rPr>
                <w:rFonts w:hint="eastAsia" w:ascii="楷体" w:hAnsi="楷体" w:eastAsia="楷体" w:cs="楷体"/>
                <w:sz w:val="24"/>
                <w:szCs w:val="24"/>
              </w:rPr>
              <w:t>未持作业橾作证操作相关需要操作证机械设备</w:t>
            </w:r>
          </w:p>
        </w:tc>
        <w:tc>
          <w:tcPr>
            <w:tcW w:w="1312" w:type="pct"/>
            <w:tcBorders>
              <w:top w:val="single" w:color="auto" w:sz="4" w:space="0"/>
              <w:left w:val="single" w:color="auto" w:sz="4" w:space="0"/>
              <w:bottom w:val="single" w:color="auto" w:sz="4" w:space="0"/>
              <w:right w:val="single" w:color="auto" w:sz="4" w:space="0"/>
            </w:tcBorders>
            <w:shd w:val="clear" w:color="auto" w:fill="auto"/>
            <w:vAlign w:val="center"/>
          </w:tcPr>
          <w:p w14:paraId="7C4128AB">
            <w:pPr>
              <w:rPr>
                <w:rFonts w:ascii="楷体" w:hAnsi="楷体" w:eastAsia="楷体" w:cs="楷体"/>
                <w:sz w:val="24"/>
                <w:szCs w:val="24"/>
              </w:rPr>
            </w:pPr>
            <w:r>
              <w:rPr>
                <w:rFonts w:hint="eastAsia" w:ascii="楷体" w:hAnsi="楷体" w:eastAsia="楷体" w:cs="楷体"/>
                <w:sz w:val="24"/>
                <w:szCs w:val="24"/>
              </w:rPr>
              <w:t>每处每次1000元</w:t>
            </w:r>
          </w:p>
        </w:tc>
        <w:tc>
          <w:tcPr>
            <w:tcW w:w="628" w:type="pct"/>
            <w:tcBorders>
              <w:top w:val="single" w:color="auto" w:sz="4" w:space="0"/>
              <w:left w:val="single" w:color="auto" w:sz="4" w:space="0"/>
              <w:bottom w:val="single" w:color="auto" w:sz="4" w:space="0"/>
              <w:right w:val="single" w:color="auto" w:sz="4" w:space="0"/>
            </w:tcBorders>
            <w:shd w:val="clear" w:color="auto" w:fill="auto"/>
            <w:vAlign w:val="center"/>
          </w:tcPr>
          <w:p w14:paraId="5E7FB196">
            <w:pPr>
              <w:rPr>
                <w:rFonts w:ascii="楷体" w:hAnsi="楷体" w:eastAsia="楷体" w:cs="楷体"/>
                <w:sz w:val="24"/>
                <w:szCs w:val="24"/>
              </w:rPr>
            </w:pPr>
          </w:p>
        </w:tc>
      </w:tr>
      <w:tr w14:paraId="586C6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548" w:type="pct"/>
            <w:tcBorders>
              <w:top w:val="single" w:color="auto" w:sz="4" w:space="0"/>
              <w:left w:val="single" w:color="auto" w:sz="4" w:space="0"/>
              <w:bottom w:val="single" w:color="auto" w:sz="4" w:space="0"/>
              <w:right w:val="single" w:color="auto" w:sz="4" w:space="0"/>
            </w:tcBorders>
            <w:shd w:val="clear" w:color="auto" w:fill="auto"/>
            <w:vAlign w:val="center"/>
          </w:tcPr>
          <w:p w14:paraId="5F49BBE5">
            <w:pPr>
              <w:rPr>
                <w:rFonts w:ascii="楷体" w:hAnsi="楷体" w:eastAsia="楷体" w:cs="楷体"/>
                <w:sz w:val="24"/>
                <w:szCs w:val="24"/>
              </w:rPr>
            </w:pPr>
            <w:r>
              <w:rPr>
                <w:rFonts w:hint="eastAsia" w:ascii="楷体" w:hAnsi="楷体" w:eastAsia="楷体" w:cs="楷体"/>
                <w:sz w:val="24"/>
                <w:szCs w:val="24"/>
              </w:rPr>
              <w:t>CM09</w:t>
            </w:r>
          </w:p>
        </w:tc>
        <w:tc>
          <w:tcPr>
            <w:tcW w:w="2510" w:type="pct"/>
            <w:tcBorders>
              <w:top w:val="single" w:color="auto" w:sz="4" w:space="0"/>
              <w:left w:val="single" w:color="auto" w:sz="4" w:space="0"/>
              <w:bottom w:val="single" w:color="auto" w:sz="4" w:space="0"/>
              <w:right w:val="single" w:color="auto" w:sz="4" w:space="0"/>
            </w:tcBorders>
            <w:shd w:val="clear" w:color="auto" w:fill="auto"/>
            <w:vAlign w:val="center"/>
          </w:tcPr>
          <w:p w14:paraId="2B5CECE4">
            <w:pPr>
              <w:rPr>
                <w:rFonts w:ascii="楷体" w:hAnsi="楷体" w:eastAsia="楷体" w:cs="楷体"/>
                <w:sz w:val="24"/>
                <w:szCs w:val="24"/>
              </w:rPr>
            </w:pPr>
            <w:r>
              <w:rPr>
                <w:rFonts w:hint="eastAsia" w:ascii="楷体" w:hAnsi="楷体" w:eastAsia="楷体" w:cs="楷体"/>
                <w:sz w:val="24"/>
                <w:szCs w:val="24"/>
              </w:rPr>
              <w:t>设备未达电气防护要求</w:t>
            </w:r>
          </w:p>
        </w:tc>
        <w:tc>
          <w:tcPr>
            <w:tcW w:w="1312" w:type="pct"/>
            <w:tcBorders>
              <w:top w:val="single" w:color="auto" w:sz="4" w:space="0"/>
              <w:left w:val="single" w:color="auto" w:sz="4" w:space="0"/>
              <w:bottom w:val="single" w:color="auto" w:sz="4" w:space="0"/>
              <w:right w:val="single" w:color="auto" w:sz="4" w:space="0"/>
            </w:tcBorders>
            <w:shd w:val="clear" w:color="auto" w:fill="auto"/>
            <w:vAlign w:val="center"/>
          </w:tcPr>
          <w:p w14:paraId="3DE69BA1">
            <w:pPr>
              <w:rPr>
                <w:rFonts w:ascii="楷体" w:hAnsi="楷体" w:eastAsia="楷体" w:cs="楷体"/>
                <w:sz w:val="24"/>
                <w:szCs w:val="24"/>
              </w:rPr>
            </w:pPr>
            <w:r>
              <w:rPr>
                <w:rFonts w:hint="eastAsia" w:ascii="楷体" w:hAnsi="楷体" w:eastAsia="楷体" w:cs="楷体"/>
                <w:sz w:val="24"/>
                <w:szCs w:val="24"/>
              </w:rPr>
              <w:t>每处每次1000元</w:t>
            </w:r>
          </w:p>
        </w:tc>
        <w:tc>
          <w:tcPr>
            <w:tcW w:w="628" w:type="pct"/>
            <w:tcBorders>
              <w:top w:val="single" w:color="auto" w:sz="4" w:space="0"/>
              <w:left w:val="single" w:color="auto" w:sz="4" w:space="0"/>
              <w:bottom w:val="single" w:color="auto" w:sz="4" w:space="0"/>
              <w:right w:val="single" w:color="auto" w:sz="4" w:space="0"/>
            </w:tcBorders>
            <w:shd w:val="clear" w:color="auto" w:fill="auto"/>
            <w:vAlign w:val="center"/>
          </w:tcPr>
          <w:p w14:paraId="5F409883">
            <w:pPr>
              <w:rPr>
                <w:rFonts w:ascii="楷体" w:hAnsi="楷体" w:eastAsia="楷体" w:cs="楷体"/>
                <w:sz w:val="24"/>
                <w:szCs w:val="24"/>
              </w:rPr>
            </w:pPr>
          </w:p>
        </w:tc>
      </w:tr>
      <w:tr w14:paraId="5BAD6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548" w:type="pct"/>
            <w:tcBorders>
              <w:top w:val="single" w:color="auto" w:sz="4" w:space="0"/>
              <w:left w:val="single" w:color="auto" w:sz="4" w:space="0"/>
              <w:bottom w:val="single" w:color="auto" w:sz="4" w:space="0"/>
              <w:right w:val="single" w:color="auto" w:sz="4" w:space="0"/>
            </w:tcBorders>
            <w:shd w:val="clear" w:color="auto" w:fill="auto"/>
            <w:vAlign w:val="center"/>
          </w:tcPr>
          <w:p w14:paraId="51C562E0">
            <w:pPr>
              <w:rPr>
                <w:rFonts w:ascii="楷体" w:hAnsi="楷体" w:eastAsia="楷体" w:cs="楷体"/>
                <w:sz w:val="24"/>
                <w:szCs w:val="24"/>
              </w:rPr>
            </w:pPr>
            <w:r>
              <w:rPr>
                <w:rFonts w:hint="eastAsia" w:ascii="楷体" w:hAnsi="楷体" w:eastAsia="楷体" w:cs="楷体"/>
                <w:sz w:val="24"/>
                <w:szCs w:val="24"/>
              </w:rPr>
              <w:t>CM10</w:t>
            </w:r>
          </w:p>
        </w:tc>
        <w:tc>
          <w:tcPr>
            <w:tcW w:w="2510" w:type="pct"/>
            <w:tcBorders>
              <w:top w:val="single" w:color="auto" w:sz="4" w:space="0"/>
              <w:left w:val="single" w:color="auto" w:sz="4" w:space="0"/>
              <w:bottom w:val="single" w:color="auto" w:sz="4" w:space="0"/>
              <w:right w:val="single" w:color="auto" w:sz="4" w:space="0"/>
            </w:tcBorders>
            <w:shd w:val="clear" w:color="auto" w:fill="auto"/>
            <w:vAlign w:val="center"/>
          </w:tcPr>
          <w:p w14:paraId="5147217C">
            <w:pPr>
              <w:rPr>
                <w:rFonts w:ascii="楷体" w:hAnsi="楷体" w:eastAsia="楷体" w:cs="楷体"/>
                <w:sz w:val="24"/>
                <w:szCs w:val="24"/>
              </w:rPr>
            </w:pPr>
            <w:r>
              <w:rPr>
                <w:rFonts w:hint="eastAsia" w:ascii="楷体" w:hAnsi="楷体" w:eastAsia="楷体" w:cs="楷体"/>
                <w:sz w:val="24"/>
                <w:szCs w:val="24"/>
              </w:rPr>
              <w:t>其他违反国家相关标准或项目管理规定的</w:t>
            </w:r>
          </w:p>
        </w:tc>
        <w:tc>
          <w:tcPr>
            <w:tcW w:w="1312" w:type="pct"/>
            <w:tcBorders>
              <w:top w:val="single" w:color="auto" w:sz="4" w:space="0"/>
              <w:left w:val="single" w:color="auto" w:sz="4" w:space="0"/>
              <w:bottom w:val="single" w:color="auto" w:sz="4" w:space="0"/>
              <w:right w:val="single" w:color="auto" w:sz="4" w:space="0"/>
            </w:tcBorders>
            <w:shd w:val="clear" w:color="auto" w:fill="auto"/>
            <w:vAlign w:val="center"/>
          </w:tcPr>
          <w:p w14:paraId="0D33FEB5">
            <w:pPr>
              <w:rPr>
                <w:rFonts w:ascii="楷体" w:hAnsi="楷体" w:eastAsia="楷体" w:cs="楷体"/>
                <w:sz w:val="24"/>
                <w:szCs w:val="24"/>
              </w:rPr>
            </w:pPr>
            <w:r>
              <w:rPr>
                <w:rFonts w:hint="eastAsia" w:ascii="楷体" w:hAnsi="楷体" w:eastAsia="楷体" w:cs="楷体"/>
                <w:sz w:val="24"/>
                <w:szCs w:val="24"/>
              </w:rPr>
              <w:t>每处每次500-50000元</w:t>
            </w:r>
          </w:p>
        </w:tc>
        <w:tc>
          <w:tcPr>
            <w:tcW w:w="628" w:type="pct"/>
            <w:tcBorders>
              <w:top w:val="single" w:color="auto" w:sz="4" w:space="0"/>
              <w:left w:val="single" w:color="auto" w:sz="4" w:space="0"/>
              <w:bottom w:val="single" w:color="auto" w:sz="4" w:space="0"/>
              <w:right w:val="single" w:color="auto" w:sz="4" w:space="0"/>
            </w:tcBorders>
            <w:shd w:val="clear" w:color="auto" w:fill="auto"/>
            <w:vAlign w:val="center"/>
          </w:tcPr>
          <w:p w14:paraId="6F45AAFB">
            <w:pPr>
              <w:rPr>
                <w:rFonts w:ascii="楷体" w:hAnsi="楷体" w:eastAsia="楷体" w:cs="楷体"/>
                <w:sz w:val="24"/>
                <w:szCs w:val="24"/>
              </w:rPr>
            </w:pPr>
          </w:p>
        </w:tc>
      </w:tr>
    </w:tbl>
    <w:p w14:paraId="0468CA35">
      <w:pPr>
        <w:pStyle w:val="2"/>
        <w:ind w:firstLine="480"/>
        <w:rPr>
          <w:rFonts w:ascii="楷体" w:hAnsi="楷体" w:eastAsia="楷体" w:cs="楷体"/>
          <w:bCs/>
          <w:sz w:val="24"/>
          <w:szCs w:val="24"/>
        </w:rPr>
      </w:pPr>
      <w:r>
        <w:rPr>
          <w:rFonts w:hint="eastAsia" w:ascii="楷体" w:hAnsi="楷体" w:eastAsia="楷体" w:cs="楷体"/>
          <w:bCs/>
          <w:sz w:val="24"/>
          <w:szCs w:val="24"/>
          <w:lang w:bidi="ar"/>
        </w:rPr>
        <w:t>4.7.8 脚手架管理</w:t>
      </w:r>
    </w:p>
    <w:tbl>
      <w:tblPr>
        <w:tblStyle w:val="1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6"/>
        <w:gridCol w:w="5160"/>
        <w:gridCol w:w="2319"/>
        <w:gridCol w:w="748"/>
      </w:tblGrid>
      <w:tr w14:paraId="398C1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1006F7CE">
            <w:pPr>
              <w:rPr>
                <w:rFonts w:ascii="楷体" w:hAnsi="楷体" w:eastAsia="楷体" w:cs="楷体"/>
                <w:sz w:val="24"/>
                <w:szCs w:val="24"/>
              </w:rPr>
            </w:pPr>
            <w:r>
              <w:rPr>
                <w:rFonts w:hint="eastAsia" w:ascii="楷体" w:hAnsi="楷体" w:eastAsia="楷体" w:cs="楷体"/>
                <w:sz w:val="24"/>
                <w:szCs w:val="24"/>
              </w:rPr>
              <w:t>序号</w:t>
            </w:r>
          </w:p>
        </w:tc>
        <w:tc>
          <w:tcPr>
            <w:tcW w:w="2830" w:type="pct"/>
            <w:tcBorders>
              <w:top w:val="single" w:color="auto" w:sz="4" w:space="0"/>
              <w:left w:val="single" w:color="auto" w:sz="4" w:space="0"/>
              <w:bottom w:val="single" w:color="auto" w:sz="4" w:space="0"/>
              <w:right w:val="single" w:color="auto" w:sz="4" w:space="0"/>
            </w:tcBorders>
            <w:shd w:val="clear" w:color="auto" w:fill="auto"/>
            <w:vAlign w:val="center"/>
          </w:tcPr>
          <w:p w14:paraId="38E247C5">
            <w:pPr>
              <w:rPr>
                <w:rFonts w:ascii="楷体" w:hAnsi="楷体" w:eastAsia="楷体" w:cs="楷体"/>
                <w:sz w:val="24"/>
                <w:szCs w:val="24"/>
              </w:rPr>
            </w:pPr>
            <w:r>
              <w:rPr>
                <w:rFonts w:hint="eastAsia" w:ascii="楷体" w:hAnsi="楷体" w:eastAsia="楷体" w:cs="楷体"/>
                <w:sz w:val="24"/>
                <w:szCs w:val="24"/>
              </w:rPr>
              <w:t>违章内容</w:t>
            </w:r>
          </w:p>
        </w:tc>
        <w:tc>
          <w:tcPr>
            <w:tcW w:w="1272" w:type="pct"/>
            <w:tcBorders>
              <w:top w:val="single" w:color="auto" w:sz="4" w:space="0"/>
              <w:left w:val="single" w:color="auto" w:sz="4" w:space="0"/>
              <w:bottom w:val="single" w:color="auto" w:sz="4" w:space="0"/>
              <w:right w:val="single" w:color="auto" w:sz="4" w:space="0"/>
            </w:tcBorders>
            <w:shd w:val="clear" w:color="auto" w:fill="auto"/>
            <w:vAlign w:val="center"/>
          </w:tcPr>
          <w:p w14:paraId="19EBFCE9">
            <w:pPr>
              <w:rPr>
                <w:rFonts w:ascii="楷体" w:hAnsi="楷体" w:eastAsia="楷体" w:cs="楷体"/>
                <w:sz w:val="24"/>
                <w:szCs w:val="24"/>
              </w:rPr>
            </w:pPr>
            <w:r>
              <w:rPr>
                <w:rFonts w:hint="eastAsia" w:ascii="楷体" w:hAnsi="楷体" w:eastAsia="楷体" w:cs="楷体"/>
                <w:sz w:val="24"/>
                <w:szCs w:val="24"/>
              </w:rPr>
              <w:t>罚款金额</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14:paraId="5F0DE5C4">
            <w:pPr>
              <w:rPr>
                <w:rFonts w:ascii="楷体" w:hAnsi="楷体" w:eastAsia="楷体" w:cs="楷体"/>
                <w:sz w:val="24"/>
                <w:szCs w:val="24"/>
              </w:rPr>
            </w:pPr>
            <w:r>
              <w:rPr>
                <w:rFonts w:hint="eastAsia" w:ascii="楷体" w:hAnsi="楷体" w:eastAsia="楷体" w:cs="楷体"/>
                <w:sz w:val="24"/>
                <w:szCs w:val="24"/>
              </w:rPr>
              <w:t>备注</w:t>
            </w:r>
          </w:p>
        </w:tc>
      </w:tr>
      <w:tr w14:paraId="1FD5D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38ABF5EE">
            <w:pPr>
              <w:rPr>
                <w:rFonts w:ascii="楷体" w:hAnsi="楷体" w:eastAsia="楷体" w:cs="楷体"/>
                <w:sz w:val="24"/>
                <w:szCs w:val="24"/>
              </w:rPr>
            </w:pPr>
            <w:r>
              <w:rPr>
                <w:rFonts w:hint="eastAsia" w:ascii="楷体" w:hAnsi="楷体" w:eastAsia="楷体" w:cs="楷体"/>
                <w:sz w:val="24"/>
                <w:szCs w:val="24"/>
              </w:rPr>
              <w:t>SC01</w:t>
            </w:r>
          </w:p>
        </w:tc>
        <w:tc>
          <w:tcPr>
            <w:tcW w:w="2830" w:type="pct"/>
            <w:tcBorders>
              <w:top w:val="single" w:color="auto" w:sz="4" w:space="0"/>
              <w:left w:val="single" w:color="auto" w:sz="4" w:space="0"/>
              <w:bottom w:val="single" w:color="auto" w:sz="4" w:space="0"/>
              <w:right w:val="single" w:color="auto" w:sz="4" w:space="0"/>
            </w:tcBorders>
            <w:shd w:val="clear" w:color="auto" w:fill="auto"/>
            <w:vAlign w:val="center"/>
          </w:tcPr>
          <w:p w14:paraId="77163FC2">
            <w:pPr>
              <w:rPr>
                <w:rFonts w:ascii="楷体" w:hAnsi="楷体" w:eastAsia="楷体" w:cs="楷体"/>
                <w:sz w:val="24"/>
                <w:szCs w:val="24"/>
              </w:rPr>
            </w:pPr>
            <w:r>
              <w:rPr>
                <w:rFonts w:hint="eastAsia" w:ascii="楷体" w:hAnsi="楷体" w:eastAsia="楷体" w:cs="楷体"/>
                <w:sz w:val="24"/>
                <w:szCs w:val="24"/>
              </w:rPr>
              <w:t>各型制脚手架未编制施工方案</w:t>
            </w:r>
          </w:p>
        </w:tc>
        <w:tc>
          <w:tcPr>
            <w:tcW w:w="1272" w:type="pct"/>
            <w:tcBorders>
              <w:top w:val="single" w:color="auto" w:sz="4" w:space="0"/>
              <w:left w:val="single" w:color="auto" w:sz="4" w:space="0"/>
              <w:bottom w:val="single" w:color="auto" w:sz="4" w:space="0"/>
              <w:right w:val="single" w:color="auto" w:sz="4" w:space="0"/>
            </w:tcBorders>
            <w:shd w:val="clear" w:color="auto" w:fill="auto"/>
            <w:vAlign w:val="center"/>
          </w:tcPr>
          <w:p w14:paraId="7E0F719F">
            <w:pPr>
              <w:rPr>
                <w:rFonts w:ascii="楷体" w:hAnsi="楷体" w:eastAsia="楷体" w:cs="楷体"/>
                <w:sz w:val="24"/>
                <w:szCs w:val="24"/>
              </w:rPr>
            </w:pPr>
            <w:r>
              <w:rPr>
                <w:rFonts w:hint="eastAsia" w:ascii="楷体" w:hAnsi="楷体" w:eastAsia="楷体" w:cs="楷体"/>
                <w:sz w:val="24"/>
                <w:szCs w:val="24"/>
              </w:rPr>
              <w:t>每处每次5000元</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14:paraId="54634C89">
            <w:pPr>
              <w:rPr>
                <w:rFonts w:ascii="楷体" w:hAnsi="楷体" w:eastAsia="楷体" w:cs="楷体"/>
                <w:sz w:val="24"/>
                <w:szCs w:val="24"/>
              </w:rPr>
            </w:pPr>
          </w:p>
        </w:tc>
      </w:tr>
      <w:tr w14:paraId="68F9F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6FA6F389">
            <w:pPr>
              <w:rPr>
                <w:rFonts w:ascii="楷体" w:hAnsi="楷体" w:eastAsia="楷体" w:cs="楷体"/>
                <w:sz w:val="24"/>
                <w:szCs w:val="24"/>
              </w:rPr>
            </w:pPr>
            <w:r>
              <w:rPr>
                <w:rFonts w:hint="eastAsia" w:ascii="楷体" w:hAnsi="楷体" w:eastAsia="楷体" w:cs="楷体"/>
                <w:sz w:val="24"/>
                <w:szCs w:val="24"/>
              </w:rPr>
              <w:t>SC02</w:t>
            </w:r>
          </w:p>
        </w:tc>
        <w:tc>
          <w:tcPr>
            <w:tcW w:w="2830" w:type="pct"/>
            <w:tcBorders>
              <w:top w:val="single" w:color="auto" w:sz="4" w:space="0"/>
              <w:left w:val="single" w:color="auto" w:sz="4" w:space="0"/>
              <w:bottom w:val="single" w:color="auto" w:sz="4" w:space="0"/>
              <w:right w:val="single" w:color="auto" w:sz="4" w:space="0"/>
            </w:tcBorders>
            <w:shd w:val="clear" w:color="auto" w:fill="auto"/>
            <w:vAlign w:val="center"/>
          </w:tcPr>
          <w:p w14:paraId="6E4B6393">
            <w:pPr>
              <w:rPr>
                <w:rFonts w:ascii="楷体" w:hAnsi="楷体" w:eastAsia="楷体" w:cs="楷体"/>
                <w:sz w:val="24"/>
                <w:szCs w:val="24"/>
              </w:rPr>
            </w:pPr>
            <w:r>
              <w:rPr>
                <w:rFonts w:hint="eastAsia" w:ascii="楷体" w:hAnsi="楷体" w:eastAsia="楷体" w:cs="楷体"/>
                <w:sz w:val="24"/>
                <w:szCs w:val="24"/>
              </w:rPr>
              <w:t>架体基础不符合方案要求</w:t>
            </w:r>
          </w:p>
        </w:tc>
        <w:tc>
          <w:tcPr>
            <w:tcW w:w="1272" w:type="pct"/>
            <w:tcBorders>
              <w:top w:val="single" w:color="auto" w:sz="4" w:space="0"/>
              <w:left w:val="single" w:color="auto" w:sz="4" w:space="0"/>
              <w:bottom w:val="single" w:color="auto" w:sz="4" w:space="0"/>
              <w:right w:val="single" w:color="auto" w:sz="4" w:space="0"/>
            </w:tcBorders>
            <w:shd w:val="clear" w:color="auto" w:fill="auto"/>
            <w:vAlign w:val="center"/>
          </w:tcPr>
          <w:p w14:paraId="58ED8671">
            <w:pPr>
              <w:rPr>
                <w:rFonts w:ascii="楷体" w:hAnsi="楷体" w:eastAsia="楷体" w:cs="楷体"/>
                <w:sz w:val="24"/>
                <w:szCs w:val="24"/>
              </w:rPr>
            </w:pPr>
            <w:r>
              <w:rPr>
                <w:rFonts w:hint="eastAsia" w:ascii="楷体" w:hAnsi="楷体" w:eastAsia="楷体" w:cs="楷体"/>
                <w:sz w:val="24"/>
                <w:szCs w:val="24"/>
              </w:rPr>
              <w:t>每处每次5000元</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14:paraId="23C484DB">
            <w:pPr>
              <w:rPr>
                <w:rFonts w:ascii="楷体" w:hAnsi="楷体" w:eastAsia="楷体" w:cs="楷体"/>
                <w:sz w:val="24"/>
                <w:szCs w:val="24"/>
              </w:rPr>
            </w:pPr>
          </w:p>
        </w:tc>
      </w:tr>
      <w:tr w14:paraId="62E12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1B1E9407">
            <w:pPr>
              <w:rPr>
                <w:rFonts w:ascii="楷体" w:hAnsi="楷体" w:eastAsia="楷体" w:cs="楷体"/>
                <w:sz w:val="24"/>
                <w:szCs w:val="24"/>
              </w:rPr>
            </w:pPr>
            <w:r>
              <w:rPr>
                <w:rFonts w:hint="eastAsia" w:ascii="楷体" w:hAnsi="楷体" w:eastAsia="楷体" w:cs="楷体"/>
                <w:sz w:val="24"/>
                <w:szCs w:val="24"/>
              </w:rPr>
              <w:t>SC03</w:t>
            </w:r>
          </w:p>
        </w:tc>
        <w:tc>
          <w:tcPr>
            <w:tcW w:w="2830" w:type="pct"/>
            <w:tcBorders>
              <w:top w:val="single" w:color="auto" w:sz="4" w:space="0"/>
              <w:left w:val="single" w:color="auto" w:sz="4" w:space="0"/>
              <w:bottom w:val="single" w:color="auto" w:sz="4" w:space="0"/>
              <w:right w:val="single" w:color="auto" w:sz="4" w:space="0"/>
            </w:tcBorders>
            <w:shd w:val="clear" w:color="auto" w:fill="auto"/>
            <w:vAlign w:val="center"/>
          </w:tcPr>
          <w:p w14:paraId="2DAC7472">
            <w:pPr>
              <w:rPr>
                <w:rFonts w:ascii="楷体" w:hAnsi="楷体" w:eastAsia="楷体" w:cs="楷体"/>
                <w:sz w:val="24"/>
                <w:szCs w:val="24"/>
              </w:rPr>
            </w:pPr>
            <w:r>
              <w:rPr>
                <w:rFonts w:hint="eastAsia" w:ascii="楷体" w:hAnsi="楷体" w:eastAsia="楷体" w:cs="楷体"/>
                <w:sz w:val="24"/>
                <w:szCs w:val="24"/>
              </w:rPr>
              <w:t>搭设前未进行安全技术交底和安全教育</w:t>
            </w:r>
          </w:p>
        </w:tc>
        <w:tc>
          <w:tcPr>
            <w:tcW w:w="1272" w:type="pct"/>
            <w:tcBorders>
              <w:top w:val="single" w:color="auto" w:sz="4" w:space="0"/>
              <w:left w:val="single" w:color="auto" w:sz="4" w:space="0"/>
              <w:bottom w:val="single" w:color="auto" w:sz="4" w:space="0"/>
              <w:right w:val="single" w:color="auto" w:sz="4" w:space="0"/>
            </w:tcBorders>
            <w:shd w:val="clear" w:color="auto" w:fill="auto"/>
            <w:vAlign w:val="center"/>
          </w:tcPr>
          <w:p w14:paraId="6E5E0CDB">
            <w:pPr>
              <w:rPr>
                <w:rFonts w:ascii="楷体" w:hAnsi="楷体" w:eastAsia="楷体" w:cs="楷体"/>
                <w:sz w:val="24"/>
                <w:szCs w:val="24"/>
              </w:rPr>
            </w:pPr>
            <w:r>
              <w:rPr>
                <w:rFonts w:hint="eastAsia" w:ascii="楷体" w:hAnsi="楷体" w:eastAsia="楷体" w:cs="楷体"/>
                <w:sz w:val="24"/>
                <w:szCs w:val="24"/>
              </w:rPr>
              <w:t>每处每次2000元</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14:paraId="7D5F294D">
            <w:pPr>
              <w:rPr>
                <w:rFonts w:ascii="楷体" w:hAnsi="楷体" w:eastAsia="楷体" w:cs="楷体"/>
                <w:sz w:val="24"/>
                <w:szCs w:val="24"/>
              </w:rPr>
            </w:pPr>
          </w:p>
        </w:tc>
      </w:tr>
      <w:tr w14:paraId="47F8D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574097A0">
            <w:pPr>
              <w:rPr>
                <w:rFonts w:ascii="楷体" w:hAnsi="楷体" w:eastAsia="楷体" w:cs="楷体"/>
                <w:sz w:val="24"/>
                <w:szCs w:val="24"/>
              </w:rPr>
            </w:pPr>
            <w:r>
              <w:rPr>
                <w:rFonts w:hint="eastAsia" w:ascii="楷体" w:hAnsi="楷体" w:eastAsia="楷体" w:cs="楷体"/>
                <w:sz w:val="24"/>
                <w:szCs w:val="24"/>
              </w:rPr>
              <w:t>SC04</w:t>
            </w:r>
          </w:p>
        </w:tc>
        <w:tc>
          <w:tcPr>
            <w:tcW w:w="2830" w:type="pct"/>
            <w:tcBorders>
              <w:top w:val="single" w:color="auto" w:sz="4" w:space="0"/>
              <w:left w:val="single" w:color="auto" w:sz="4" w:space="0"/>
              <w:bottom w:val="single" w:color="auto" w:sz="4" w:space="0"/>
              <w:right w:val="single" w:color="auto" w:sz="4" w:space="0"/>
            </w:tcBorders>
            <w:shd w:val="clear" w:color="auto" w:fill="auto"/>
            <w:vAlign w:val="center"/>
          </w:tcPr>
          <w:p w14:paraId="4F53961C">
            <w:pPr>
              <w:rPr>
                <w:rFonts w:ascii="楷体" w:hAnsi="楷体" w:eastAsia="楷体" w:cs="楷体"/>
                <w:sz w:val="24"/>
                <w:szCs w:val="24"/>
              </w:rPr>
            </w:pPr>
            <w:r>
              <w:rPr>
                <w:rFonts w:hint="eastAsia" w:ascii="楷体" w:hAnsi="楷体" w:eastAsia="楷体" w:cs="楷体"/>
                <w:sz w:val="24"/>
                <w:szCs w:val="24"/>
              </w:rPr>
              <w:t>搭设、拆除过程中无旁站监督人员</w:t>
            </w:r>
          </w:p>
        </w:tc>
        <w:tc>
          <w:tcPr>
            <w:tcW w:w="1272" w:type="pct"/>
            <w:tcBorders>
              <w:top w:val="single" w:color="auto" w:sz="4" w:space="0"/>
              <w:left w:val="single" w:color="auto" w:sz="4" w:space="0"/>
              <w:bottom w:val="single" w:color="auto" w:sz="4" w:space="0"/>
              <w:right w:val="single" w:color="auto" w:sz="4" w:space="0"/>
            </w:tcBorders>
            <w:shd w:val="clear" w:color="auto" w:fill="auto"/>
            <w:vAlign w:val="center"/>
          </w:tcPr>
          <w:p w14:paraId="70FD4BF5">
            <w:pPr>
              <w:rPr>
                <w:rFonts w:ascii="楷体" w:hAnsi="楷体" w:eastAsia="楷体" w:cs="楷体"/>
                <w:sz w:val="24"/>
                <w:szCs w:val="24"/>
              </w:rPr>
            </w:pPr>
            <w:r>
              <w:rPr>
                <w:rFonts w:hint="eastAsia" w:ascii="楷体" w:hAnsi="楷体" w:eastAsia="楷体" w:cs="楷体"/>
                <w:sz w:val="24"/>
                <w:szCs w:val="24"/>
              </w:rPr>
              <w:t>每处每次1000元</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14:paraId="1EDF2A05">
            <w:pPr>
              <w:rPr>
                <w:rFonts w:ascii="楷体" w:hAnsi="楷体" w:eastAsia="楷体" w:cs="楷体"/>
                <w:sz w:val="24"/>
                <w:szCs w:val="24"/>
              </w:rPr>
            </w:pPr>
          </w:p>
        </w:tc>
      </w:tr>
      <w:tr w14:paraId="1395E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62272BDE">
            <w:pPr>
              <w:rPr>
                <w:rFonts w:ascii="楷体" w:hAnsi="楷体" w:eastAsia="楷体" w:cs="楷体"/>
                <w:sz w:val="24"/>
                <w:szCs w:val="24"/>
              </w:rPr>
            </w:pPr>
            <w:r>
              <w:rPr>
                <w:rFonts w:hint="eastAsia" w:ascii="楷体" w:hAnsi="楷体" w:eastAsia="楷体" w:cs="楷体"/>
                <w:sz w:val="24"/>
                <w:szCs w:val="24"/>
              </w:rPr>
              <w:t>SC05</w:t>
            </w:r>
          </w:p>
        </w:tc>
        <w:tc>
          <w:tcPr>
            <w:tcW w:w="2830" w:type="pct"/>
            <w:tcBorders>
              <w:top w:val="single" w:color="auto" w:sz="4" w:space="0"/>
              <w:left w:val="single" w:color="auto" w:sz="4" w:space="0"/>
              <w:bottom w:val="single" w:color="auto" w:sz="4" w:space="0"/>
              <w:right w:val="single" w:color="auto" w:sz="4" w:space="0"/>
            </w:tcBorders>
            <w:shd w:val="clear" w:color="auto" w:fill="auto"/>
            <w:vAlign w:val="center"/>
          </w:tcPr>
          <w:p w14:paraId="7479DAD6">
            <w:pPr>
              <w:rPr>
                <w:rFonts w:ascii="楷体" w:hAnsi="楷体" w:eastAsia="楷体" w:cs="楷体"/>
                <w:sz w:val="24"/>
                <w:szCs w:val="24"/>
              </w:rPr>
            </w:pPr>
            <w:r>
              <w:rPr>
                <w:rFonts w:hint="eastAsia" w:ascii="楷体" w:hAnsi="楷体" w:eastAsia="楷体" w:cs="楷体"/>
                <w:sz w:val="24"/>
                <w:szCs w:val="24"/>
              </w:rPr>
              <w:t>脚手板、防护栏杆不符合安全要求</w:t>
            </w:r>
          </w:p>
        </w:tc>
        <w:tc>
          <w:tcPr>
            <w:tcW w:w="1272" w:type="pct"/>
            <w:tcBorders>
              <w:top w:val="single" w:color="auto" w:sz="4" w:space="0"/>
              <w:left w:val="single" w:color="auto" w:sz="4" w:space="0"/>
              <w:bottom w:val="single" w:color="auto" w:sz="4" w:space="0"/>
              <w:right w:val="single" w:color="auto" w:sz="4" w:space="0"/>
            </w:tcBorders>
            <w:shd w:val="clear" w:color="auto" w:fill="auto"/>
            <w:vAlign w:val="center"/>
          </w:tcPr>
          <w:p w14:paraId="5C2FD5FE">
            <w:pPr>
              <w:rPr>
                <w:rFonts w:ascii="楷体" w:hAnsi="楷体" w:eastAsia="楷体" w:cs="楷体"/>
                <w:sz w:val="24"/>
                <w:szCs w:val="24"/>
              </w:rPr>
            </w:pPr>
            <w:r>
              <w:rPr>
                <w:rFonts w:hint="eastAsia" w:ascii="楷体" w:hAnsi="楷体" w:eastAsia="楷体" w:cs="楷体"/>
                <w:sz w:val="24"/>
                <w:szCs w:val="24"/>
              </w:rPr>
              <w:t>每处每次1000元</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14:paraId="78D45E2D">
            <w:pPr>
              <w:rPr>
                <w:rFonts w:ascii="楷体" w:hAnsi="楷体" w:eastAsia="楷体" w:cs="楷体"/>
                <w:sz w:val="24"/>
                <w:szCs w:val="24"/>
              </w:rPr>
            </w:pPr>
          </w:p>
        </w:tc>
      </w:tr>
      <w:tr w14:paraId="48E77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013144A9">
            <w:pPr>
              <w:rPr>
                <w:rFonts w:ascii="楷体" w:hAnsi="楷体" w:eastAsia="楷体" w:cs="楷体"/>
                <w:sz w:val="24"/>
                <w:szCs w:val="24"/>
              </w:rPr>
            </w:pPr>
            <w:r>
              <w:rPr>
                <w:rFonts w:hint="eastAsia" w:ascii="楷体" w:hAnsi="楷体" w:eastAsia="楷体" w:cs="楷体"/>
                <w:sz w:val="24"/>
                <w:szCs w:val="24"/>
              </w:rPr>
              <w:t>SC06</w:t>
            </w:r>
          </w:p>
        </w:tc>
        <w:tc>
          <w:tcPr>
            <w:tcW w:w="2830" w:type="pct"/>
            <w:tcBorders>
              <w:top w:val="single" w:color="auto" w:sz="4" w:space="0"/>
              <w:left w:val="single" w:color="auto" w:sz="4" w:space="0"/>
              <w:bottom w:val="single" w:color="auto" w:sz="4" w:space="0"/>
              <w:right w:val="single" w:color="auto" w:sz="4" w:space="0"/>
            </w:tcBorders>
            <w:shd w:val="clear" w:color="auto" w:fill="auto"/>
            <w:vAlign w:val="center"/>
          </w:tcPr>
          <w:p w14:paraId="3198B41C">
            <w:pPr>
              <w:rPr>
                <w:rFonts w:ascii="楷体" w:hAnsi="楷体" w:eastAsia="楷体" w:cs="楷体"/>
                <w:sz w:val="24"/>
                <w:szCs w:val="24"/>
              </w:rPr>
            </w:pPr>
            <w:r>
              <w:rPr>
                <w:rFonts w:hint="eastAsia" w:ascii="楷体" w:hAnsi="楷体" w:eastAsia="楷体" w:cs="楷体"/>
                <w:sz w:val="24"/>
                <w:szCs w:val="24"/>
              </w:rPr>
              <w:t>未按方案设置拉结点或私自拆除拉结点</w:t>
            </w:r>
          </w:p>
        </w:tc>
        <w:tc>
          <w:tcPr>
            <w:tcW w:w="1272" w:type="pct"/>
            <w:tcBorders>
              <w:top w:val="single" w:color="auto" w:sz="4" w:space="0"/>
              <w:left w:val="single" w:color="auto" w:sz="4" w:space="0"/>
              <w:bottom w:val="single" w:color="auto" w:sz="4" w:space="0"/>
              <w:right w:val="single" w:color="auto" w:sz="4" w:space="0"/>
            </w:tcBorders>
            <w:shd w:val="clear" w:color="auto" w:fill="auto"/>
            <w:vAlign w:val="center"/>
          </w:tcPr>
          <w:p w14:paraId="17B24B88">
            <w:pPr>
              <w:rPr>
                <w:rFonts w:ascii="楷体" w:hAnsi="楷体" w:eastAsia="楷体" w:cs="楷体"/>
                <w:sz w:val="24"/>
                <w:szCs w:val="24"/>
              </w:rPr>
            </w:pPr>
            <w:r>
              <w:rPr>
                <w:rFonts w:hint="eastAsia" w:ascii="楷体" w:hAnsi="楷体" w:eastAsia="楷体" w:cs="楷体"/>
                <w:sz w:val="24"/>
                <w:szCs w:val="24"/>
              </w:rPr>
              <w:t>每处每次2000元</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14:paraId="479CC2AE">
            <w:pPr>
              <w:rPr>
                <w:rFonts w:ascii="楷体" w:hAnsi="楷体" w:eastAsia="楷体" w:cs="楷体"/>
                <w:sz w:val="24"/>
                <w:szCs w:val="24"/>
              </w:rPr>
            </w:pPr>
          </w:p>
        </w:tc>
      </w:tr>
      <w:tr w14:paraId="1B16F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037D231E">
            <w:pPr>
              <w:rPr>
                <w:rFonts w:ascii="楷体" w:hAnsi="楷体" w:eastAsia="楷体" w:cs="楷体"/>
                <w:sz w:val="24"/>
                <w:szCs w:val="24"/>
              </w:rPr>
            </w:pPr>
            <w:r>
              <w:rPr>
                <w:rFonts w:hint="eastAsia" w:ascii="楷体" w:hAnsi="楷体" w:eastAsia="楷体" w:cs="楷体"/>
                <w:sz w:val="24"/>
                <w:szCs w:val="24"/>
              </w:rPr>
              <w:t>SC07</w:t>
            </w:r>
          </w:p>
        </w:tc>
        <w:tc>
          <w:tcPr>
            <w:tcW w:w="2830" w:type="pct"/>
            <w:tcBorders>
              <w:top w:val="single" w:color="auto" w:sz="4" w:space="0"/>
              <w:left w:val="single" w:color="auto" w:sz="4" w:space="0"/>
              <w:bottom w:val="single" w:color="auto" w:sz="4" w:space="0"/>
              <w:right w:val="single" w:color="auto" w:sz="4" w:space="0"/>
            </w:tcBorders>
            <w:shd w:val="clear" w:color="auto" w:fill="auto"/>
            <w:vAlign w:val="center"/>
          </w:tcPr>
          <w:p w14:paraId="3483BF8A">
            <w:pPr>
              <w:rPr>
                <w:rFonts w:ascii="楷体" w:hAnsi="楷体" w:eastAsia="楷体" w:cs="楷体"/>
                <w:sz w:val="24"/>
                <w:szCs w:val="24"/>
              </w:rPr>
            </w:pPr>
            <w:r>
              <w:rPr>
                <w:rFonts w:hint="eastAsia" w:ascii="楷体" w:hAnsi="楷体" w:eastAsia="楷体" w:cs="楷体"/>
                <w:sz w:val="24"/>
                <w:szCs w:val="24"/>
              </w:rPr>
              <w:t>未按照方案要求设置剪刀撑、斜撑、斜杠等稳定支撑</w:t>
            </w:r>
          </w:p>
        </w:tc>
        <w:tc>
          <w:tcPr>
            <w:tcW w:w="1272" w:type="pct"/>
            <w:tcBorders>
              <w:top w:val="single" w:color="auto" w:sz="4" w:space="0"/>
              <w:left w:val="single" w:color="auto" w:sz="4" w:space="0"/>
              <w:bottom w:val="single" w:color="auto" w:sz="4" w:space="0"/>
              <w:right w:val="single" w:color="auto" w:sz="4" w:space="0"/>
            </w:tcBorders>
            <w:shd w:val="clear" w:color="auto" w:fill="auto"/>
            <w:vAlign w:val="center"/>
          </w:tcPr>
          <w:p w14:paraId="7FF1FD1E">
            <w:pPr>
              <w:rPr>
                <w:rFonts w:ascii="楷体" w:hAnsi="楷体" w:eastAsia="楷体" w:cs="楷体"/>
                <w:sz w:val="24"/>
                <w:szCs w:val="24"/>
              </w:rPr>
            </w:pPr>
            <w:r>
              <w:rPr>
                <w:rFonts w:hint="eastAsia" w:ascii="楷体" w:hAnsi="楷体" w:eastAsia="楷体" w:cs="楷体"/>
                <w:sz w:val="24"/>
                <w:szCs w:val="24"/>
              </w:rPr>
              <w:t>每处每次3000元</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14:paraId="3D5C7146">
            <w:pPr>
              <w:rPr>
                <w:rFonts w:ascii="楷体" w:hAnsi="楷体" w:eastAsia="楷体" w:cs="楷体"/>
                <w:sz w:val="24"/>
                <w:szCs w:val="24"/>
              </w:rPr>
            </w:pPr>
          </w:p>
        </w:tc>
      </w:tr>
      <w:tr w14:paraId="11A77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290E5A7E">
            <w:pPr>
              <w:rPr>
                <w:rFonts w:ascii="楷体" w:hAnsi="楷体" w:eastAsia="楷体" w:cs="楷体"/>
                <w:sz w:val="24"/>
                <w:szCs w:val="24"/>
              </w:rPr>
            </w:pPr>
            <w:r>
              <w:rPr>
                <w:rFonts w:hint="eastAsia" w:ascii="楷体" w:hAnsi="楷体" w:eastAsia="楷体" w:cs="楷体"/>
                <w:sz w:val="24"/>
                <w:szCs w:val="24"/>
              </w:rPr>
              <w:t>SC08</w:t>
            </w:r>
          </w:p>
        </w:tc>
        <w:tc>
          <w:tcPr>
            <w:tcW w:w="2830" w:type="pct"/>
            <w:tcBorders>
              <w:top w:val="single" w:color="auto" w:sz="4" w:space="0"/>
              <w:left w:val="single" w:color="auto" w:sz="4" w:space="0"/>
              <w:bottom w:val="single" w:color="auto" w:sz="4" w:space="0"/>
              <w:right w:val="single" w:color="auto" w:sz="4" w:space="0"/>
            </w:tcBorders>
            <w:shd w:val="clear" w:color="auto" w:fill="auto"/>
            <w:vAlign w:val="center"/>
          </w:tcPr>
          <w:p w14:paraId="57C8CB45">
            <w:pPr>
              <w:rPr>
                <w:rFonts w:ascii="楷体" w:hAnsi="楷体" w:eastAsia="楷体" w:cs="楷体"/>
                <w:sz w:val="24"/>
                <w:szCs w:val="24"/>
              </w:rPr>
            </w:pPr>
            <w:r>
              <w:rPr>
                <w:rFonts w:hint="eastAsia" w:ascii="楷体" w:hAnsi="楷体" w:eastAsia="楷体" w:cs="楷体"/>
                <w:sz w:val="24"/>
                <w:szCs w:val="24"/>
              </w:rPr>
              <w:t>架体外侧未采用密目网封闭并绑扎严密的</w:t>
            </w:r>
          </w:p>
        </w:tc>
        <w:tc>
          <w:tcPr>
            <w:tcW w:w="1272" w:type="pct"/>
            <w:tcBorders>
              <w:top w:val="single" w:color="auto" w:sz="4" w:space="0"/>
              <w:left w:val="single" w:color="auto" w:sz="4" w:space="0"/>
              <w:bottom w:val="single" w:color="auto" w:sz="4" w:space="0"/>
              <w:right w:val="single" w:color="auto" w:sz="4" w:space="0"/>
            </w:tcBorders>
            <w:shd w:val="clear" w:color="auto" w:fill="auto"/>
            <w:vAlign w:val="center"/>
          </w:tcPr>
          <w:p w14:paraId="7829119D">
            <w:pPr>
              <w:rPr>
                <w:rFonts w:ascii="楷体" w:hAnsi="楷体" w:eastAsia="楷体" w:cs="楷体"/>
                <w:sz w:val="24"/>
                <w:szCs w:val="24"/>
              </w:rPr>
            </w:pPr>
            <w:r>
              <w:rPr>
                <w:rFonts w:hint="eastAsia" w:ascii="楷体" w:hAnsi="楷体" w:eastAsia="楷体" w:cs="楷体"/>
                <w:sz w:val="24"/>
                <w:szCs w:val="24"/>
              </w:rPr>
              <w:t>每处每次1000元</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14:paraId="30CF3327">
            <w:pPr>
              <w:rPr>
                <w:rFonts w:ascii="楷体" w:hAnsi="楷体" w:eastAsia="楷体" w:cs="楷体"/>
                <w:sz w:val="24"/>
                <w:szCs w:val="24"/>
              </w:rPr>
            </w:pPr>
          </w:p>
        </w:tc>
      </w:tr>
      <w:tr w14:paraId="7E958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40647AE2">
            <w:pPr>
              <w:rPr>
                <w:rFonts w:ascii="楷体" w:hAnsi="楷体" w:eastAsia="楷体" w:cs="楷体"/>
                <w:sz w:val="24"/>
                <w:szCs w:val="24"/>
              </w:rPr>
            </w:pPr>
            <w:r>
              <w:rPr>
                <w:rFonts w:hint="eastAsia" w:ascii="楷体" w:hAnsi="楷体" w:eastAsia="楷体" w:cs="楷体"/>
                <w:sz w:val="24"/>
                <w:szCs w:val="24"/>
              </w:rPr>
              <w:t>SC09</w:t>
            </w:r>
          </w:p>
        </w:tc>
        <w:tc>
          <w:tcPr>
            <w:tcW w:w="2830" w:type="pct"/>
            <w:tcBorders>
              <w:top w:val="single" w:color="auto" w:sz="4" w:space="0"/>
              <w:left w:val="single" w:color="auto" w:sz="4" w:space="0"/>
              <w:bottom w:val="single" w:color="auto" w:sz="4" w:space="0"/>
              <w:right w:val="single" w:color="auto" w:sz="4" w:space="0"/>
            </w:tcBorders>
            <w:shd w:val="clear" w:color="auto" w:fill="auto"/>
            <w:vAlign w:val="center"/>
          </w:tcPr>
          <w:p w14:paraId="690C967F">
            <w:pPr>
              <w:rPr>
                <w:rFonts w:ascii="楷体" w:hAnsi="楷体" w:eastAsia="楷体" w:cs="楷体"/>
                <w:sz w:val="24"/>
                <w:szCs w:val="24"/>
              </w:rPr>
            </w:pPr>
            <w:r>
              <w:rPr>
                <w:rFonts w:hint="eastAsia" w:ascii="楷体" w:hAnsi="楷体" w:eastAsia="楷体" w:cs="楷体"/>
                <w:sz w:val="24"/>
                <w:szCs w:val="24"/>
              </w:rPr>
              <w:t>作业层未按规范要求设置挡脚板</w:t>
            </w:r>
          </w:p>
        </w:tc>
        <w:tc>
          <w:tcPr>
            <w:tcW w:w="1272" w:type="pct"/>
            <w:tcBorders>
              <w:top w:val="single" w:color="auto" w:sz="4" w:space="0"/>
              <w:left w:val="single" w:color="auto" w:sz="4" w:space="0"/>
              <w:bottom w:val="single" w:color="auto" w:sz="4" w:space="0"/>
              <w:right w:val="single" w:color="auto" w:sz="4" w:space="0"/>
            </w:tcBorders>
            <w:shd w:val="clear" w:color="auto" w:fill="auto"/>
            <w:vAlign w:val="center"/>
          </w:tcPr>
          <w:p w14:paraId="67159596">
            <w:pPr>
              <w:rPr>
                <w:rFonts w:ascii="楷体" w:hAnsi="楷体" w:eastAsia="楷体" w:cs="楷体"/>
                <w:sz w:val="24"/>
                <w:szCs w:val="24"/>
              </w:rPr>
            </w:pPr>
            <w:r>
              <w:rPr>
                <w:rFonts w:hint="eastAsia" w:ascii="楷体" w:hAnsi="楷体" w:eastAsia="楷体" w:cs="楷体"/>
                <w:sz w:val="24"/>
                <w:szCs w:val="24"/>
              </w:rPr>
              <w:t>每处每次1000元</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14:paraId="31BD7E80">
            <w:pPr>
              <w:rPr>
                <w:rFonts w:ascii="楷体" w:hAnsi="楷体" w:eastAsia="楷体" w:cs="楷体"/>
                <w:sz w:val="24"/>
                <w:szCs w:val="24"/>
              </w:rPr>
            </w:pPr>
          </w:p>
        </w:tc>
      </w:tr>
      <w:tr w14:paraId="65F1F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47DE446F">
            <w:pPr>
              <w:rPr>
                <w:rFonts w:ascii="楷体" w:hAnsi="楷体" w:eastAsia="楷体" w:cs="楷体"/>
                <w:sz w:val="24"/>
                <w:szCs w:val="24"/>
              </w:rPr>
            </w:pPr>
            <w:r>
              <w:rPr>
                <w:rFonts w:hint="eastAsia" w:ascii="楷体" w:hAnsi="楷体" w:eastAsia="楷体" w:cs="楷体"/>
                <w:sz w:val="24"/>
                <w:szCs w:val="24"/>
              </w:rPr>
              <w:t>SC10</w:t>
            </w:r>
          </w:p>
        </w:tc>
        <w:tc>
          <w:tcPr>
            <w:tcW w:w="2830" w:type="pct"/>
            <w:tcBorders>
              <w:top w:val="single" w:color="auto" w:sz="4" w:space="0"/>
              <w:left w:val="single" w:color="auto" w:sz="4" w:space="0"/>
              <w:bottom w:val="single" w:color="auto" w:sz="4" w:space="0"/>
              <w:right w:val="single" w:color="auto" w:sz="4" w:space="0"/>
            </w:tcBorders>
            <w:shd w:val="clear" w:color="auto" w:fill="auto"/>
            <w:vAlign w:val="center"/>
          </w:tcPr>
          <w:p w14:paraId="071C9C3D">
            <w:pPr>
              <w:rPr>
                <w:rFonts w:ascii="楷体" w:hAnsi="楷体" w:eastAsia="楷体" w:cs="楷体"/>
                <w:sz w:val="24"/>
                <w:szCs w:val="24"/>
              </w:rPr>
            </w:pPr>
            <w:r>
              <w:rPr>
                <w:rFonts w:hint="eastAsia" w:ascii="楷体" w:hAnsi="楷体" w:eastAsia="楷体" w:cs="楷体"/>
                <w:sz w:val="24"/>
                <w:szCs w:val="24"/>
              </w:rPr>
              <w:t>脚手架作业层脚手板下未按规范采用安全兜底</w:t>
            </w:r>
          </w:p>
        </w:tc>
        <w:tc>
          <w:tcPr>
            <w:tcW w:w="1272" w:type="pct"/>
            <w:tcBorders>
              <w:top w:val="single" w:color="auto" w:sz="4" w:space="0"/>
              <w:left w:val="single" w:color="auto" w:sz="4" w:space="0"/>
              <w:bottom w:val="single" w:color="auto" w:sz="4" w:space="0"/>
              <w:right w:val="single" w:color="auto" w:sz="4" w:space="0"/>
            </w:tcBorders>
            <w:shd w:val="clear" w:color="auto" w:fill="auto"/>
            <w:vAlign w:val="center"/>
          </w:tcPr>
          <w:p w14:paraId="181298FA">
            <w:pPr>
              <w:rPr>
                <w:rFonts w:ascii="楷体" w:hAnsi="楷体" w:eastAsia="楷体" w:cs="楷体"/>
                <w:sz w:val="24"/>
                <w:szCs w:val="24"/>
              </w:rPr>
            </w:pPr>
            <w:r>
              <w:rPr>
                <w:rFonts w:hint="eastAsia" w:ascii="楷体" w:hAnsi="楷体" w:eastAsia="楷体" w:cs="楷体"/>
                <w:sz w:val="24"/>
                <w:szCs w:val="24"/>
              </w:rPr>
              <w:t>每处每次2000元</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14:paraId="31C65F80">
            <w:pPr>
              <w:rPr>
                <w:rFonts w:ascii="楷体" w:hAnsi="楷体" w:eastAsia="楷体" w:cs="楷体"/>
                <w:sz w:val="24"/>
                <w:szCs w:val="24"/>
              </w:rPr>
            </w:pPr>
          </w:p>
        </w:tc>
      </w:tr>
      <w:tr w14:paraId="3A632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493CC76C">
            <w:pPr>
              <w:rPr>
                <w:rFonts w:ascii="楷体" w:hAnsi="楷体" w:eastAsia="楷体" w:cs="楷体"/>
                <w:sz w:val="24"/>
                <w:szCs w:val="24"/>
              </w:rPr>
            </w:pPr>
            <w:r>
              <w:rPr>
                <w:rFonts w:hint="eastAsia" w:ascii="楷体" w:hAnsi="楷体" w:eastAsia="楷体" w:cs="楷体"/>
                <w:sz w:val="24"/>
                <w:szCs w:val="24"/>
              </w:rPr>
              <w:t>SC11</w:t>
            </w:r>
          </w:p>
        </w:tc>
        <w:tc>
          <w:tcPr>
            <w:tcW w:w="2830" w:type="pct"/>
            <w:tcBorders>
              <w:top w:val="single" w:color="auto" w:sz="4" w:space="0"/>
              <w:left w:val="single" w:color="auto" w:sz="4" w:space="0"/>
              <w:bottom w:val="single" w:color="auto" w:sz="4" w:space="0"/>
              <w:right w:val="single" w:color="auto" w:sz="4" w:space="0"/>
            </w:tcBorders>
            <w:shd w:val="clear" w:color="auto" w:fill="auto"/>
            <w:vAlign w:val="center"/>
          </w:tcPr>
          <w:p w14:paraId="7AD49589">
            <w:pPr>
              <w:rPr>
                <w:rFonts w:ascii="楷体" w:hAnsi="楷体" w:eastAsia="楷体" w:cs="楷体"/>
                <w:sz w:val="24"/>
                <w:szCs w:val="24"/>
              </w:rPr>
            </w:pPr>
            <w:r>
              <w:rPr>
                <w:rFonts w:hint="eastAsia" w:ascii="楷体" w:hAnsi="楷体" w:eastAsia="楷体" w:cs="楷体"/>
                <w:sz w:val="24"/>
                <w:szCs w:val="24"/>
              </w:rPr>
              <w:t>未按照方案和安全措施随意拆除脚手架拆除过程中随意抛扔钢管构件等</w:t>
            </w:r>
          </w:p>
        </w:tc>
        <w:tc>
          <w:tcPr>
            <w:tcW w:w="1272" w:type="pct"/>
            <w:tcBorders>
              <w:top w:val="single" w:color="auto" w:sz="4" w:space="0"/>
              <w:left w:val="single" w:color="auto" w:sz="4" w:space="0"/>
              <w:bottom w:val="single" w:color="auto" w:sz="4" w:space="0"/>
              <w:right w:val="single" w:color="auto" w:sz="4" w:space="0"/>
            </w:tcBorders>
            <w:shd w:val="clear" w:color="auto" w:fill="auto"/>
            <w:vAlign w:val="center"/>
          </w:tcPr>
          <w:p w14:paraId="2BF49174">
            <w:pPr>
              <w:rPr>
                <w:rFonts w:ascii="楷体" w:hAnsi="楷体" w:eastAsia="楷体" w:cs="楷体"/>
                <w:sz w:val="24"/>
                <w:szCs w:val="24"/>
              </w:rPr>
            </w:pPr>
            <w:r>
              <w:rPr>
                <w:rFonts w:hint="eastAsia" w:ascii="楷体" w:hAnsi="楷体" w:eastAsia="楷体" w:cs="楷体"/>
                <w:sz w:val="24"/>
                <w:szCs w:val="24"/>
              </w:rPr>
              <w:t>每处每次5000元</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14:paraId="18BB1AA6">
            <w:pPr>
              <w:rPr>
                <w:rFonts w:ascii="楷体" w:hAnsi="楷体" w:eastAsia="楷体" w:cs="楷体"/>
                <w:sz w:val="24"/>
                <w:szCs w:val="24"/>
              </w:rPr>
            </w:pPr>
          </w:p>
        </w:tc>
      </w:tr>
      <w:tr w14:paraId="5C78B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7D64730B">
            <w:pPr>
              <w:rPr>
                <w:rFonts w:ascii="楷体" w:hAnsi="楷体" w:eastAsia="楷体" w:cs="楷体"/>
                <w:sz w:val="24"/>
                <w:szCs w:val="24"/>
              </w:rPr>
            </w:pPr>
            <w:r>
              <w:rPr>
                <w:rFonts w:hint="eastAsia" w:ascii="楷体" w:hAnsi="楷体" w:eastAsia="楷体" w:cs="楷体"/>
                <w:sz w:val="24"/>
                <w:szCs w:val="24"/>
              </w:rPr>
              <w:t>SC12</w:t>
            </w:r>
          </w:p>
        </w:tc>
        <w:tc>
          <w:tcPr>
            <w:tcW w:w="2830" w:type="pct"/>
            <w:tcBorders>
              <w:top w:val="single" w:color="auto" w:sz="4" w:space="0"/>
              <w:left w:val="single" w:color="auto" w:sz="4" w:space="0"/>
              <w:bottom w:val="single" w:color="auto" w:sz="4" w:space="0"/>
              <w:right w:val="single" w:color="auto" w:sz="4" w:space="0"/>
            </w:tcBorders>
            <w:shd w:val="clear" w:color="auto" w:fill="auto"/>
            <w:vAlign w:val="center"/>
          </w:tcPr>
          <w:p w14:paraId="791F4194">
            <w:pPr>
              <w:rPr>
                <w:rFonts w:ascii="楷体" w:hAnsi="楷体" w:eastAsia="楷体" w:cs="楷体"/>
                <w:sz w:val="24"/>
                <w:szCs w:val="24"/>
              </w:rPr>
            </w:pPr>
            <w:r>
              <w:rPr>
                <w:rFonts w:hint="eastAsia" w:ascii="楷体" w:hAnsi="楷体" w:eastAsia="楷体" w:cs="楷体"/>
                <w:sz w:val="24"/>
                <w:szCs w:val="24"/>
              </w:rPr>
              <w:t>搭设拆除脚手架作业人员无可靠安全防护措施</w:t>
            </w:r>
          </w:p>
        </w:tc>
        <w:tc>
          <w:tcPr>
            <w:tcW w:w="1272" w:type="pct"/>
            <w:tcBorders>
              <w:top w:val="single" w:color="auto" w:sz="4" w:space="0"/>
              <w:left w:val="single" w:color="auto" w:sz="4" w:space="0"/>
              <w:bottom w:val="single" w:color="auto" w:sz="4" w:space="0"/>
              <w:right w:val="single" w:color="auto" w:sz="4" w:space="0"/>
            </w:tcBorders>
            <w:shd w:val="clear" w:color="auto" w:fill="auto"/>
            <w:vAlign w:val="center"/>
          </w:tcPr>
          <w:p w14:paraId="4564E5EB">
            <w:pPr>
              <w:rPr>
                <w:rFonts w:ascii="楷体" w:hAnsi="楷体" w:eastAsia="楷体" w:cs="楷体"/>
                <w:sz w:val="24"/>
                <w:szCs w:val="24"/>
              </w:rPr>
            </w:pPr>
            <w:r>
              <w:rPr>
                <w:rFonts w:hint="eastAsia" w:ascii="楷体" w:hAnsi="楷体" w:eastAsia="楷体" w:cs="楷体"/>
                <w:sz w:val="24"/>
                <w:szCs w:val="24"/>
              </w:rPr>
              <w:t>每处每次1000元</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14:paraId="030CCA36">
            <w:pPr>
              <w:rPr>
                <w:rFonts w:ascii="楷体" w:hAnsi="楷体" w:eastAsia="楷体" w:cs="楷体"/>
                <w:sz w:val="24"/>
                <w:szCs w:val="24"/>
              </w:rPr>
            </w:pPr>
          </w:p>
        </w:tc>
      </w:tr>
      <w:tr w14:paraId="032C6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54F480E9">
            <w:pPr>
              <w:rPr>
                <w:rFonts w:ascii="楷体" w:hAnsi="楷体" w:eastAsia="楷体" w:cs="楷体"/>
                <w:sz w:val="24"/>
                <w:szCs w:val="24"/>
              </w:rPr>
            </w:pPr>
            <w:r>
              <w:rPr>
                <w:rFonts w:hint="eastAsia" w:ascii="楷体" w:hAnsi="楷体" w:eastAsia="楷体" w:cs="楷体"/>
                <w:sz w:val="24"/>
                <w:szCs w:val="24"/>
              </w:rPr>
              <w:t>SC13</w:t>
            </w:r>
          </w:p>
        </w:tc>
        <w:tc>
          <w:tcPr>
            <w:tcW w:w="2830" w:type="pct"/>
            <w:tcBorders>
              <w:top w:val="single" w:color="auto" w:sz="4" w:space="0"/>
              <w:left w:val="single" w:color="auto" w:sz="4" w:space="0"/>
              <w:bottom w:val="single" w:color="auto" w:sz="4" w:space="0"/>
              <w:right w:val="single" w:color="auto" w:sz="4" w:space="0"/>
            </w:tcBorders>
            <w:shd w:val="clear" w:color="auto" w:fill="auto"/>
            <w:vAlign w:val="center"/>
          </w:tcPr>
          <w:p w14:paraId="14536EC0">
            <w:pPr>
              <w:rPr>
                <w:rFonts w:ascii="楷体" w:hAnsi="楷体" w:eastAsia="楷体" w:cs="楷体"/>
                <w:sz w:val="24"/>
                <w:szCs w:val="24"/>
              </w:rPr>
            </w:pPr>
            <w:r>
              <w:rPr>
                <w:rFonts w:hint="eastAsia" w:ascii="楷体" w:hAnsi="楷体" w:eastAsia="楷体" w:cs="楷体"/>
                <w:sz w:val="24"/>
                <w:szCs w:val="24"/>
              </w:rPr>
              <w:t>未设置人员上下的专用通道</w:t>
            </w:r>
          </w:p>
        </w:tc>
        <w:tc>
          <w:tcPr>
            <w:tcW w:w="1272" w:type="pct"/>
            <w:tcBorders>
              <w:top w:val="single" w:color="auto" w:sz="4" w:space="0"/>
              <w:left w:val="single" w:color="auto" w:sz="4" w:space="0"/>
              <w:bottom w:val="single" w:color="auto" w:sz="4" w:space="0"/>
              <w:right w:val="single" w:color="auto" w:sz="4" w:space="0"/>
            </w:tcBorders>
            <w:shd w:val="clear" w:color="auto" w:fill="auto"/>
            <w:vAlign w:val="center"/>
          </w:tcPr>
          <w:p w14:paraId="12D52F1B">
            <w:pPr>
              <w:rPr>
                <w:rFonts w:ascii="楷体" w:hAnsi="楷体" w:eastAsia="楷体" w:cs="楷体"/>
                <w:sz w:val="24"/>
                <w:szCs w:val="24"/>
              </w:rPr>
            </w:pPr>
            <w:r>
              <w:rPr>
                <w:rFonts w:hint="eastAsia" w:ascii="楷体" w:hAnsi="楷体" w:eastAsia="楷体" w:cs="楷体"/>
                <w:sz w:val="24"/>
                <w:szCs w:val="24"/>
              </w:rPr>
              <w:t>每处每次1000元</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14:paraId="2E09D8EF">
            <w:pPr>
              <w:rPr>
                <w:rFonts w:ascii="楷体" w:hAnsi="楷体" w:eastAsia="楷体" w:cs="楷体"/>
                <w:sz w:val="24"/>
                <w:szCs w:val="24"/>
              </w:rPr>
            </w:pPr>
          </w:p>
        </w:tc>
      </w:tr>
      <w:tr w14:paraId="1814D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7C469CD2">
            <w:pPr>
              <w:rPr>
                <w:rFonts w:ascii="楷体" w:hAnsi="楷体" w:eastAsia="楷体" w:cs="楷体"/>
                <w:sz w:val="24"/>
                <w:szCs w:val="24"/>
              </w:rPr>
            </w:pPr>
            <w:r>
              <w:rPr>
                <w:rFonts w:hint="eastAsia" w:ascii="楷体" w:hAnsi="楷体" w:eastAsia="楷体" w:cs="楷体"/>
                <w:sz w:val="24"/>
                <w:szCs w:val="24"/>
              </w:rPr>
              <w:t>SC14</w:t>
            </w:r>
          </w:p>
        </w:tc>
        <w:tc>
          <w:tcPr>
            <w:tcW w:w="2830" w:type="pct"/>
            <w:tcBorders>
              <w:top w:val="single" w:color="auto" w:sz="4" w:space="0"/>
              <w:left w:val="single" w:color="auto" w:sz="4" w:space="0"/>
              <w:bottom w:val="single" w:color="auto" w:sz="4" w:space="0"/>
              <w:right w:val="single" w:color="auto" w:sz="4" w:space="0"/>
            </w:tcBorders>
            <w:shd w:val="clear" w:color="auto" w:fill="auto"/>
            <w:vAlign w:val="center"/>
          </w:tcPr>
          <w:p w14:paraId="4E9737F4">
            <w:pPr>
              <w:rPr>
                <w:rFonts w:ascii="楷体" w:hAnsi="楷体" w:eastAsia="楷体" w:cs="楷体"/>
                <w:sz w:val="24"/>
                <w:szCs w:val="24"/>
              </w:rPr>
            </w:pPr>
            <w:r>
              <w:rPr>
                <w:rFonts w:hint="eastAsia" w:ascii="楷体" w:hAnsi="楷体" w:eastAsia="楷体" w:cs="楷体"/>
                <w:sz w:val="24"/>
                <w:szCs w:val="24"/>
              </w:rPr>
              <w:t>立杆、剪刀撑的接长不符合规范要求</w:t>
            </w:r>
          </w:p>
        </w:tc>
        <w:tc>
          <w:tcPr>
            <w:tcW w:w="1272" w:type="pct"/>
            <w:tcBorders>
              <w:top w:val="single" w:color="auto" w:sz="4" w:space="0"/>
              <w:left w:val="single" w:color="auto" w:sz="4" w:space="0"/>
              <w:bottom w:val="single" w:color="auto" w:sz="4" w:space="0"/>
              <w:right w:val="single" w:color="auto" w:sz="4" w:space="0"/>
            </w:tcBorders>
            <w:shd w:val="clear" w:color="auto" w:fill="auto"/>
            <w:vAlign w:val="center"/>
          </w:tcPr>
          <w:p w14:paraId="160D9A72">
            <w:pPr>
              <w:rPr>
                <w:rFonts w:ascii="楷体" w:hAnsi="楷体" w:eastAsia="楷体" w:cs="楷体"/>
                <w:sz w:val="24"/>
                <w:szCs w:val="24"/>
              </w:rPr>
            </w:pPr>
            <w:r>
              <w:rPr>
                <w:rFonts w:hint="eastAsia" w:ascii="楷体" w:hAnsi="楷体" w:eastAsia="楷体" w:cs="楷体"/>
                <w:sz w:val="24"/>
                <w:szCs w:val="24"/>
              </w:rPr>
              <w:t>每处每次1000元</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14:paraId="164BB32D">
            <w:pPr>
              <w:rPr>
                <w:rFonts w:ascii="楷体" w:hAnsi="楷体" w:eastAsia="楷体" w:cs="楷体"/>
                <w:sz w:val="24"/>
                <w:szCs w:val="24"/>
              </w:rPr>
            </w:pPr>
          </w:p>
        </w:tc>
      </w:tr>
      <w:tr w14:paraId="25E64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4B396D60">
            <w:pPr>
              <w:rPr>
                <w:rFonts w:ascii="楷体" w:hAnsi="楷体" w:eastAsia="楷体" w:cs="楷体"/>
                <w:sz w:val="24"/>
                <w:szCs w:val="24"/>
              </w:rPr>
            </w:pPr>
            <w:r>
              <w:rPr>
                <w:rFonts w:hint="eastAsia" w:ascii="楷体" w:hAnsi="楷体" w:eastAsia="楷体" w:cs="楷体"/>
                <w:sz w:val="24"/>
                <w:szCs w:val="24"/>
              </w:rPr>
              <w:t>SC15</w:t>
            </w:r>
          </w:p>
        </w:tc>
        <w:tc>
          <w:tcPr>
            <w:tcW w:w="2830" w:type="pct"/>
            <w:tcBorders>
              <w:top w:val="single" w:color="auto" w:sz="4" w:space="0"/>
              <w:left w:val="single" w:color="auto" w:sz="4" w:space="0"/>
              <w:bottom w:val="single" w:color="auto" w:sz="4" w:space="0"/>
              <w:right w:val="single" w:color="auto" w:sz="4" w:space="0"/>
            </w:tcBorders>
            <w:shd w:val="clear" w:color="auto" w:fill="auto"/>
            <w:vAlign w:val="center"/>
          </w:tcPr>
          <w:p w14:paraId="6C10636D">
            <w:pPr>
              <w:rPr>
                <w:rFonts w:ascii="楷体" w:hAnsi="楷体" w:eastAsia="楷体" w:cs="楷体"/>
                <w:sz w:val="24"/>
                <w:szCs w:val="24"/>
              </w:rPr>
            </w:pPr>
            <w:r>
              <w:rPr>
                <w:rFonts w:hint="eastAsia" w:ascii="楷体" w:hAnsi="楷体" w:eastAsia="楷体" w:cs="楷体"/>
                <w:sz w:val="24"/>
                <w:szCs w:val="24"/>
              </w:rPr>
              <w:t>立杆的步距、间距不符合设计和规范要求</w:t>
            </w:r>
          </w:p>
        </w:tc>
        <w:tc>
          <w:tcPr>
            <w:tcW w:w="1272" w:type="pct"/>
            <w:tcBorders>
              <w:top w:val="single" w:color="auto" w:sz="4" w:space="0"/>
              <w:left w:val="single" w:color="auto" w:sz="4" w:space="0"/>
              <w:bottom w:val="single" w:color="auto" w:sz="4" w:space="0"/>
              <w:right w:val="single" w:color="auto" w:sz="4" w:space="0"/>
            </w:tcBorders>
            <w:shd w:val="clear" w:color="auto" w:fill="auto"/>
            <w:vAlign w:val="center"/>
          </w:tcPr>
          <w:p w14:paraId="4D332689">
            <w:pPr>
              <w:rPr>
                <w:rFonts w:ascii="楷体" w:hAnsi="楷体" w:eastAsia="楷体" w:cs="楷体"/>
                <w:sz w:val="24"/>
                <w:szCs w:val="24"/>
              </w:rPr>
            </w:pPr>
            <w:r>
              <w:rPr>
                <w:rFonts w:hint="eastAsia" w:ascii="楷体" w:hAnsi="楷体" w:eastAsia="楷体" w:cs="楷体"/>
                <w:sz w:val="24"/>
                <w:szCs w:val="24"/>
              </w:rPr>
              <w:t>每处每次5000元</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14:paraId="142848BB">
            <w:pPr>
              <w:rPr>
                <w:rFonts w:ascii="楷体" w:hAnsi="楷体" w:eastAsia="楷体" w:cs="楷体"/>
                <w:sz w:val="24"/>
                <w:szCs w:val="24"/>
              </w:rPr>
            </w:pPr>
          </w:p>
        </w:tc>
      </w:tr>
      <w:tr w14:paraId="7EC48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295E2E6F">
            <w:pPr>
              <w:rPr>
                <w:rFonts w:ascii="楷体" w:hAnsi="楷体" w:eastAsia="楷体" w:cs="楷体"/>
                <w:sz w:val="24"/>
                <w:szCs w:val="24"/>
              </w:rPr>
            </w:pPr>
            <w:r>
              <w:rPr>
                <w:rFonts w:hint="eastAsia" w:ascii="楷体" w:hAnsi="楷体" w:eastAsia="楷体" w:cs="楷体"/>
                <w:sz w:val="24"/>
                <w:szCs w:val="24"/>
              </w:rPr>
              <w:t>SC16</w:t>
            </w:r>
          </w:p>
        </w:tc>
        <w:tc>
          <w:tcPr>
            <w:tcW w:w="2830" w:type="pct"/>
            <w:tcBorders>
              <w:top w:val="single" w:color="auto" w:sz="4" w:space="0"/>
              <w:left w:val="single" w:color="auto" w:sz="4" w:space="0"/>
              <w:bottom w:val="single" w:color="auto" w:sz="4" w:space="0"/>
              <w:right w:val="single" w:color="auto" w:sz="4" w:space="0"/>
            </w:tcBorders>
            <w:shd w:val="clear" w:color="auto" w:fill="auto"/>
            <w:vAlign w:val="center"/>
          </w:tcPr>
          <w:p w14:paraId="2159ED97">
            <w:pPr>
              <w:rPr>
                <w:rFonts w:ascii="楷体" w:hAnsi="楷体" w:eastAsia="楷体" w:cs="楷体"/>
                <w:sz w:val="24"/>
                <w:szCs w:val="24"/>
              </w:rPr>
            </w:pPr>
            <w:r>
              <w:rPr>
                <w:rFonts w:hint="eastAsia" w:ascii="楷体" w:hAnsi="楷体" w:eastAsia="楷体" w:cs="楷体"/>
                <w:sz w:val="24"/>
                <w:szCs w:val="24"/>
              </w:rPr>
              <w:t>扣件的紧固未达规范要求</w:t>
            </w:r>
          </w:p>
        </w:tc>
        <w:tc>
          <w:tcPr>
            <w:tcW w:w="1272" w:type="pct"/>
            <w:tcBorders>
              <w:top w:val="single" w:color="auto" w:sz="4" w:space="0"/>
              <w:left w:val="single" w:color="auto" w:sz="4" w:space="0"/>
              <w:bottom w:val="single" w:color="auto" w:sz="4" w:space="0"/>
              <w:right w:val="single" w:color="auto" w:sz="4" w:space="0"/>
            </w:tcBorders>
            <w:shd w:val="clear" w:color="auto" w:fill="auto"/>
            <w:vAlign w:val="center"/>
          </w:tcPr>
          <w:p w14:paraId="3D485045">
            <w:pPr>
              <w:rPr>
                <w:rFonts w:ascii="楷体" w:hAnsi="楷体" w:eastAsia="楷体" w:cs="楷体"/>
                <w:sz w:val="24"/>
                <w:szCs w:val="24"/>
              </w:rPr>
            </w:pPr>
            <w:r>
              <w:rPr>
                <w:rFonts w:hint="eastAsia" w:ascii="楷体" w:hAnsi="楷体" w:eastAsia="楷体" w:cs="楷体"/>
                <w:sz w:val="24"/>
                <w:szCs w:val="24"/>
              </w:rPr>
              <w:t>每处每次500元</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14:paraId="09CBBC38">
            <w:pPr>
              <w:rPr>
                <w:rFonts w:ascii="楷体" w:hAnsi="楷体" w:eastAsia="楷体" w:cs="楷体"/>
                <w:sz w:val="24"/>
                <w:szCs w:val="24"/>
              </w:rPr>
            </w:pPr>
          </w:p>
        </w:tc>
      </w:tr>
    </w:tbl>
    <w:p w14:paraId="542B11FE">
      <w:pPr>
        <w:pStyle w:val="2"/>
        <w:ind w:firstLine="480"/>
        <w:rPr>
          <w:rFonts w:ascii="楷体" w:hAnsi="楷体" w:eastAsia="楷体" w:cs="楷体"/>
          <w:bCs/>
          <w:sz w:val="24"/>
          <w:szCs w:val="24"/>
        </w:rPr>
      </w:pPr>
      <w:r>
        <w:rPr>
          <w:rFonts w:hint="eastAsia" w:ascii="楷体" w:hAnsi="楷体" w:eastAsia="楷体" w:cs="楷体"/>
          <w:bCs/>
          <w:sz w:val="24"/>
          <w:szCs w:val="24"/>
          <w:lang w:bidi="ar"/>
        </w:rPr>
        <w:t>4.7.9 危险化学品管理</w:t>
      </w:r>
    </w:p>
    <w:tbl>
      <w:tblPr>
        <w:tblStyle w:val="14"/>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1"/>
        <w:gridCol w:w="4433"/>
        <w:gridCol w:w="2647"/>
        <w:gridCol w:w="871"/>
      </w:tblGrid>
      <w:tr w14:paraId="4A677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blHeader/>
          <w:jc w:val="center"/>
        </w:trPr>
        <w:tc>
          <w:tcPr>
            <w:tcW w:w="637" w:type="pct"/>
            <w:tcBorders>
              <w:top w:val="single" w:color="auto" w:sz="4" w:space="0"/>
              <w:left w:val="single" w:color="auto" w:sz="4" w:space="0"/>
              <w:bottom w:val="single" w:color="auto" w:sz="4" w:space="0"/>
              <w:right w:val="single" w:color="auto" w:sz="4" w:space="0"/>
            </w:tcBorders>
            <w:shd w:val="clear" w:color="auto" w:fill="auto"/>
            <w:vAlign w:val="center"/>
          </w:tcPr>
          <w:p w14:paraId="2D79E79C">
            <w:pPr>
              <w:rPr>
                <w:rFonts w:ascii="楷体" w:hAnsi="楷体" w:eastAsia="楷体" w:cs="楷体"/>
                <w:sz w:val="24"/>
                <w:szCs w:val="24"/>
              </w:rPr>
            </w:pPr>
            <w:r>
              <w:rPr>
                <w:rFonts w:hint="eastAsia" w:ascii="楷体" w:hAnsi="楷体" w:eastAsia="楷体" w:cs="楷体"/>
                <w:sz w:val="24"/>
                <w:szCs w:val="24"/>
              </w:rPr>
              <w:t>序号</w:t>
            </w:r>
          </w:p>
        </w:tc>
        <w:tc>
          <w:tcPr>
            <w:tcW w:w="2432" w:type="pct"/>
            <w:tcBorders>
              <w:top w:val="single" w:color="auto" w:sz="4" w:space="0"/>
              <w:left w:val="single" w:color="auto" w:sz="4" w:space="0"/>
              <w:bottom w:val="single" w:color="auto" w:sz="4" w:space="0"/>
              <w:right w:val="single" w:color="auto" w:sz="4" w:space="0"/>
            </w:tcBorders>
            <w:shd w:val="clear" w:color="auto" w:fill="auto"/>
            <w:vAlign w:val="center"/>
          </w:tcPr>
          <w:p w14:paraId="6C79589F">
            <w:pPr>
              <w:rPr>
                <w:rFonts w:ascii="楷体" w:hAnsi="楷体" w:eastAsia="楷体" w:cs="楷体"/>
                <w:sz w:val="24"/>
                <w:szCs w:val="24"/>
              </w:rPr>
            </w:pPr>
            <w:r>
              <w:rPr>
                <w:rFonts w:hint="eastAsia" w:ascii="楷体" w:hAnsi="楷体" w:eastAsia="楷体" w:cs="楷体"/>
                <w:sz w:val="24"/>
                <w:szCs w:val="24"/>
              </w:rPr>
              <w:t>违章内容</w:t>
            </w:r>
          </w:p>
        </w:tc>
        <w:tc>
          <w:tcPr>
            <w:tcW w:w="1452" w:type="pct"/>
            <w:tcBorders>
              <w:top w:val="single" w:color="auto" w:sz="4" w:space="0"/>
              <w:left w:val="single" w:color="auto" w:sz="4" w:space="0"/>
              <w:bottom w:val="single" w:color="auto" w:sz="4" w:space="0"/>
              <w:right w:val="single" w:color="auto" w:sz="4" w:space="0"/>
            </w:tcBorders>
            <w:shd w:val="clear" w:color="auto" w:fill="auto"/>
            <w:vAlign w:val="center"/>
          </w:tcPr>
          <w:p w14:paraId="6CDFADAC">
            <w:pPr>
              <w:rPr>
                <w:rFonts w:ascii="楷体" w:hAnsi="楷体" w:eastAsia="楷体" w:cs="楷体"/>
                <w:sz w:val="24"/>
                <w:szCs w:val="24"/>
              </w:rPr>
            </w:pPr>
            <w:r>
              <w:rPr>
                <w:rFonts w:hint="eastAsia" w:ascii="楷体" w:hAnsi="楷体" w:eastAsia="楷体" w:cs="楷体"/>
                <w:sz w:val="24"/>
                <w:szCs w:val="24"/>
              </w:rPr>
              <w:t>罚款金额</w:t>
            </w:r>
          </w:p>
        </w:tc>
        <w:tc>
          <w:tcPr>
            <w:tcW w:w="478" w:type="pct"/>
            <w:tcBorders>
              <w:top w:val="single" w:color="auto" w:sz="4" w:space="0"/>
              <w:left w:val="single" w:color="auto" w:sz="4" w:space="0"/>
              <w:bottom w:val="single" w:color="auto" w:sz="4" w:space="0"/>
              <w:right w:val="single" w:color="auto" w:sz="4" w:space="0"/>
            </w:tcBorders>
            <w:shd w:val="clear" w:color="auto" w:fill="auto"/>
            <w:vAlign w:val="center"/>
          </w:tcPr>
          <w:p w14:paraId="57BA82DC">
            <w:pPr>
              <w:rPr>
                <w:rFonts w:ascii="楷体" w:hAnsi="楷体" w:eastAsia="楷体" w:cs="楷体"/>
                <w:sz w:val="24"/>
                <w:szCs w:val="24"/>
              </w:rPr>
            </w:pPr>
            <w:r>
              <w:rPr>
                <w:rFonts w:hint="eastAsia" w:ascii="楷体" w:hAnsi="楷体" w:eastAsia="楷体" w:cs="楷体"/>
                <w:sz w:val="24"/>
                <w:szCs w:val="24"/>
              </w:rPr>
              <w:t>备注</w:t>
            </w:r>
          </w:p>
        </w:tc>
      </w:tr>
      <w:tr w14:paraId="275AF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637" w:type="pct"/>
            <w:tcBorders>
              <w:top w:val="single" w:color="auto" w:sz="4" w:space="0"/>
              <w:left w:val="single" w:color="auto" w:sz="4" w:space="0"/>
              <w:bottom w:val="single" w:color="auto" w:sz="4" w:space="0"/>
              <w:right w:val="single" w:color="auto" w:sz="4" w:space="0"/>
            </w:tcBorders>
            <w:shd w:val="clear" w:color="auto" w:fill="auto"/>
            <w:vAlign w:val="center"/>
          </w:tcPr>
          <w:p w14:paraId="7ABF3FE7">
            <w:pPr>
              <w:rPr>
                <w:rFonts w:ascii="楷体" w:hAnsi="楷体" w:eastAsia="楷体" w:cs="楷体"/>
                <w:sz w:val="24"/>
                <w:szCs w:val="24"/>
              </w:rPr>
            </w:pPr>
            <w:r>
              <w:rPr>
                <w:rFonts w:hint="eastAsia" w:ascii="楷体" w:hAnsi="楷体" w:eastAsia="楷体" w:cs="楷体"/>
                <w:sz w:val="24"/>
                <w:szCs w:val="24"/>
              </w:rPr>
              <w:t>HC01</w:t>
            </w:r>
          </w:p>
        </w:tc>
        <w:tc>
          <w:tcPr>
            <w:tcW w:w="2432" w:type="pct"/>
            <w:tcBorders>
              <w:top w:val="single" w:color="auto" w:sz="4" w:space="0"/>
              <w:left w:val="single" w:color="auto" w:sz="4" w:space="0"/>
              <w:bottom w:val="single" w:color="auto" w:sz="4" w:space="0"/>
              <w:right w:val="single" w:color="auto" w:sz="4" w:space="0"/>
            </w:tcBorders>
            <w:shd w:val="clear" w:color="auto" w:fill="auto"/>
            <w:vAlign w:val="center"/>
          </w:tcPr>
          <w:p w14:paraId="563E86AB">
            <w:pPr>
              <w:rPr>
                <w:rFonts w:ascii="楷体" w:hAnsi="楷体" w:eastAsia="楷体" w:cs="楷体"/>
                <w:sz w:val="24"/>
                <w:szCs w:val="24"/>
              </w:rPr>
            </w:pPr>
            <w:r>
              <w:rPr>
                <w:rFonts w:hint="eastAsia" w:ascii="楷体" w:hAnsi="楷体" w:eastAsia="楷体" w:cs="楷体"/>
                <w:sz w:val="24"/>
                <w:szCs w:val="24"/>
              </w:rPr>
              <w:t>未按合法途径采购合格危化品</w:t>
            </w:r>
          </w:p>
        </w:tc>
        <w:tc>
          <w:tcPr>
            <w:tcW w:w="1452" w:type="pct"/>
            <w:tcBorders>
              <w:top w:val="single" w:color="auto" w:sz="4" w:space="0"/>
              <w:left w:val="single" w:color="auto" w:sz="4" w:space="0"/>
              <w:bottom w:val="single" w:color="auto" w:sz="4" w:space="0"/>
              <w:right w:val="single" w:color="auto" w:sz="4" w:space="0"/>
            </w:tcBorders>
            <w:shd w:val="clear" w:color="auto" w:fill="auto"/>
            <w:vAlign w:val="center"/>
          </w:tcPr>
          <w:p w14:paraId="4663652E">
            <w:pPr>
              <w:rPr>
                <w:rFonts w:ascii="楷体" w:hAnsi="楷体" w:eastAsia="楷体" w:cs="楷体"/>
                <w:sz w:val="24"/>
                <w:szCs w:val="24"/>
              </w:rPr>
            </w:pPr>
            <w:r>
              <w:rPr>
                <w:rFonts w:hint="eastAsia" w:ascii="楷体" w:hAnsi="楷体" w:eastAsia="楷体" w:cs="楷体"/>
                <w:sz w:val="24"/>
                <w:szCs w:val="24"/>
              </w:rPr>
              <w:t>每处每次 5000元</w:t>
            </w:r>
          </w:p>
        </w:tc>
        <w:tc>
          <w:tcPr>
            <w:tcW w:w="478" w:type="pct"/>
            <w:tcBorders>
              <w:top w:val="single" w:color="auto" w:sz="4" w:space="0"/>
              <w:left w:val="single" w:color="auto" w:sz="4" w:space="0"/>
              <w:bottom w:val="single" w:color="auto" w:sz="4" w:space="0"/>
              <w:right w:val="single" w:color="auto" w:sz="4" w:space="0"/>
            </w:tcBorders>
            <w:shd w:val="clear" w:color="auto" w:fill="auto"/>
            <w:vAlign w:val="center"/>
          </w:tcPr>
          <w:p w14:paraId="2861E59F">
            <w:pPr>
              <w:rPr>
                <w:rFonts w:ascii="楷体" w:hAnsi="楷体" w:eastAsia="楷体" w:cs="楷体"/>
                <w:sz w:val="24"/>
                <w:szCs w:val="24"/>
              </w:rPr>
            </w:pPr>
          </w:p>
        </w:tc>
      </w:tr>
      <w:tr w14:paraId="4789E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37" w:type="pct"/>
            <w:tcBorders>
              <w:top w:val="single" w:color="auto" w:sz="4" w:space="0"/>
              <w:left w:val="single" w:color="auto" w:sz="4" w:space="0"/>
              <w:bottom w:val="single" w:color="auto" w:sz="4" w:space="0"/>
              <w:right w:val="single" w:color="auto" w:sz="4" w:space="0"/>
            </w:tcBorders>
            <w:shd w:val="clear" w:color="auto" w:fill="auto"/>
            <w:vAlign w:val="center"/>
          </w:tcPr>
          <w:p w14:paraId="2971B315">
            <w:pPr>
              <w:rPr>
                <w:rFonts w:ascii="楷体" w:hAnsi="楷体" w:eastAsia="楷体" w:cs="楷体"/>
                <w:sz w:val="24"/>
                <w:szCs w:val="24"/>
              </w:rPr>
            </w:pPr>
            <w:r>
              <w:rPr>
                <w:rFonts w:hint="eastAsia" w:ascii="楷体" w:hAnsi="楷体" w:eastAsia="楷体" w:cs="楷体"/>
                <w:sz w:val="24"/>
                <w:szCs w:val="24"/>
              </w:rPr>
              <w:t>HC02</w:t>
            </w:r>
          </w:p>
        </w:tc>
        <w:tc>
          <w:tcPr>
            <w:tcW w:w="2432" w:type="pct"/>
            <w:tcBorders>
              <w:top w:val="single" w:color="auto" w:sz="4" w:space="0"/>
              <w:left w:val="single" w:color="auto" w:sz="4" w:space="0"/>
              <w:bottom w:val="single" w:color="auto" w:sz="4" w:space="0"/>
              <w:right w:val="single" w:color="auto" w:sz="4" w:space="0"/>
            </w:tcBorders>
            <w:shd w:val="clear" w:color="auto" w:fill="auto"/>
            <w:vAlign w:val="center"/>
          </w:tcPr>
          <w:p w14:paraId="1E86ADEE">
            <w:pPr>
              <w:rPr>
                <w:rFonts w:ascii="楷体" w:hAnsi="楷体" w:eastAsia="楷体" w:cs="楷体"/>
                <w:sz w:val="24"/>
                <w:szCs w:val="24"/>
              </w:rPr>
            </w:pPr>
            <w:r>
              <w:rPr>
                <w:rFonts w:hint="eastAsia" w:ascii="楷体" w:hAnsi="楷体" w:eastAsia="楷体" w:cs="楷体"/>
                <w:sz w:val="24"/>
                <w:szCs w:val="24"/>
              </w:rPr>
              <w:t>未按规范规定储存危险化学品</w:t>
            </w:r>
          </w:p>
        </w:tc>
        <w:tc>
          <w:tcPr>
            <w:tcW w:w="1452" w:type="pct"/>
            <w:tcBorders>
              <w:top w:val="single" w:color="auto" w:sz="4" w:space="0"/>
              <w:left w:val="single" w:color="auto" w:sz="4" w:space="0"/>
              <w:bottom w:val="single" w:color="auto" w:sz="4" w:space="0"/>
              <w:right w:val="single" w:color="auto" w:sz="4" w:space="0"/>
            </w:tcBorders>
            <w:shd w:val="clear" w:color="auto" w:fill="auto"/>
            <w:vAlign w:val="center"/>
          </w:tcPr>
          <w:p w14:paraId="488124CE">
            <w:pPr>
              <w:rPr>
                <w:rFonts w:ascii="楷体" w:hAnsi="楷体" w:eastAsia="楷体" w:cs="楷体"/>
                <w:sz w:val="24"/>
                <w:szCs w:val="24"/>
              </w:rPr>
            </w:pPr>
            <w:r>
              <w:rPr>
                <w:rFonts w:hint="eastAsia" w:ascii="楷体" w:hAnsi="楷体" w:eastAsia="楷体" w:cs="楷体"/>
                <w:sz w:val="24"/>
                <w:szCs w:val="24"/>
              </w:rPr>
              <w:t>每处每次2000元</w:t>
            </w:r>
          </w:p>
        </w:tc>
        <w:tc>
          <w:tcPr>
            <w:tcW w:w="478" w:type="pct"/>
            <w:tcBorders>
              <w:top w:val="single" w:color="auto" w:sz="4" w:space="0"/>
              <w:left w:val="single" w:color="auto" w:sz="4" w:space="0"/>
              <w:bottom w:val="single" w:color="auto" w:sz="4" w:space="0"/>
              <w:right w:val="single" w:color="auto" w:sz="4" w:space="0"/>
            </w:tcBorders>
            <w:shd w:val="clear" w:color="auto" w:fill="auto"/>
            <w:vAlign w:val="center"/>
          </w:tcPr>
          <w:p w14:paraId="7A5CC406">
            <w:pPr>
              <w:rPr>
                <w:rFonts w:ascii="楷体" w:hAnsi="楷体" w:eastAsia="楷体" w:cs="楷体"/>
                <w:sz w:val="24"/>
                <w:szCs w:val="24"/>
              </w:rPr>
            </w:pPr>
          </w:p>
        </w:tc>
      </w:tr>
      <w:tr w14:paraId="276B0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637" w:type="pct"/>
            <w:tcBorders>
              <w:top w:val="single" w:color="auto" w:sz="4" w:space="0"/>
              <w:left w:val="single" w:color="auto" w:sz="4" w:space="0"/>
              <w:bottom w:val="single" w:color="auto" w:sz="4" w:space="0"/>
              <w:right w:val="single" w:color="auto" w:sz="4" w:space="0"/>
            </w:tcBorders>
            <w:shd w:val="clear" w:color="auto" w:fill="auto"/>
            <w:vAlign w:val="center"/>
          </w:tcPr>
          <w:p w14:paraId="55C3F573">
            <w:pPr>
              <w:rPr>
                <w:rFonts w:ascii="楷体" w:hAnsi="楷体" w:eastAsia="楷体" w:cs="楷体"/>
                <w:sz w:val="24"/>
                <w:szCs w:val="24"/>
              </w:rPr>
            </w:pPr>
            <w:r>
              <w:rPr>
                <w:rFonts w:hint="eastAsia" w:ascii="楷体" w:hAnsi="楷体" w:eastAsia="楷体" w:cs="楷体"/>
                <w:sz w:val="24"/>
                <w:szCs w:val="24"/>
              </w:rPr>
              <w:t>HC03</w:t>
            </w:r>
          </w:p>
        </w:tc>
        <w:tc>
          <w:tcPr>
            <w:tcW w:w="2432" w:type="pct"/>
            <w:tcBorders>
              <w:top w:val="single" w:color="auto" w:sz="4" w:space="0"/>
              <w:left w:val="single" w:color="auto" w:sz="4" w:space="0"/>
              <w:bottom w:val="single" w:color="auto" w:sz="4" w:space="0"/>
              <w:right w:val="single" w:color="auto" w:sz="4" w:space="0"/>
            </w:tcBorders>
            <w:shd w:val="clear" w:color="auto" w:fill="auto"/>
            <w:vAlign w:val="center"/>
          </w:tcPr>
          <w:p w14:paraId="1ABEE9A2">
            <w:pPr>
              <w:rPr>
                <w:rFonts w:ascii="楷体" w:hAnsi="楷体" w:eastAsia="楷体" w:cs="楷体"/>
                <w:sz w:val="24"/>
                <w:szCs w:val="24"/>
              </w:rPr>
            </w:pPr>
            <w:r>
              <w:rPr>
                <w:rFonts w:hint="eastAsia" w:ascii="楷体" w:hAnsi="楷体" w:eastAsia="楷体" w:cs="楷体"/>
                <w:sz w:val="24"/>
                <w:szCs w:val="24"/>
              </w:rPr>
              <w:t>储存未设置相应警示、防范措施等</w:t>
            </w:r>
          </w:p>
        </w:tc>
        <w:tc>
          <w:tcPr>
            <w:tcW w:w="1452" w:type="pct"/>
            <w:tcBorders>
              <w:top w:val="single" w:color="auto" w:sz="4" w:space="0"/>
              <w:left w:val="single" w:color="auto" w:sz="4" w:space="0"/>
              <w:bottom w:val="single" w:color="auto" w:sz="4" w:space="0"/>
              <w:right w:val="single" w:color="auto" w:sz="4" w:space="0"/>
            </w:tcBorders>
            <w:shd w:val="clear" w:color="auto" w:fill="auto"/>
            <w:vAlign w:val="center"/>
          </w:tcPr>
          <w:p w14:paraId="11F66AA4">
            <w:pPr>
              <w:rPr>
                <w:rFonts w:ascii="楷体" w:hAnsi="楷体" w:eastAsia="楷体" w:cs="楷体"/>
                <w:sz w:val="24"/>
                <w:szCs w:val="24"/>
              </w:rPr>
            </w:pPr>
            <w:r>
              <w:rPr>
                <w:rFonts w:hint="eastAsia" w:ascii="楷体" w:hAnsi="楷体" w:eastAsia="楷体" w:cs="楷体"/>
                <w:sz w:val="24"/>
                <w:szCs w:val="24"/>
              </w:rPr>
              <w:t>每处每次3000元</w:t>
            </w:r>
          </w:p>
        </w:tc>
        <w:tc>
          <w:tcPr>
            <w:tcW w:w="478" w:type="pct"/>
            <w:tcBorders>
              <w:top w:val="single" w:color="auto" w:sz="4" w:space="0"/>
              <w:left w:val="single" w:color="auto" w:sz="4" w:space="0"/>
              <w:bottom w:val="single" w:color="auto" w:sz="4" w:space="0"/>
              <w:right w:val="single" w:color="auto" w:sz="4" w:space="0"/>
            </w:tcBorders>
            <w:shd w:val="clear" w:color="auto" w:fill="auto"/>
            <w:vAlign w:val="center"/>
          </w:tcPr>
          <w:p w14:paraId="71FA7E35">
            <w:pPr>
              <w:rPr>
                <w:rFonts w:ascii="楷体" w:hAnsi="楷体" w:eastAsia="楷体" w:cs="楷体"/>
                <w:sz w:val="24"/>
                <w:szCs w:val="24"/>
              </w:rPr>
            </w:pPr>
          </w:p>
        </w:tc>
      </w:tr>
      <w:tr w14:paraId="2BC0A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637" w:type="pct"/>
            <w:tcBorders>
              <w:top w:val="single" w:color="auto" w:sz="4" w:space="0"/>
              <w:left w:val="single" w:color="auto" w:sz="4" w:space="0"/>
              <w:bottom w:val="single" w:color="auto" w:sz="4" w:space="0"/>
              <w:right w:val="single" w:color="auto" w:sz="4" w:space="0"/>
            </w:tcBorders>
            <w:shd w:val="clear" w:color="auto" w:fill="auto"/>
            <w:vAlign w:val="center"/>
          </w:tcPr>
          <w:p w14:paraId="02C63553">
            <w:pPr>
              <w:rPr>
                <w:rFonts w:ascii="楷体" w:hAnsi="楷体" w:eastAsia="楷体" w:cs="楷体"/>
                <w:sz w:val="24"/>
                <w:szCs w:val="24"/>
              </w:rPr>
            </w:pPr>
            <w:r>
              <w:rPr>
                <w:rFonts w:hint="eastAsia" w:ascii="楷体" w:hAnsi="楷体" w:eastAsia="楷体" w:cs="楷体"/>
                <w:sz w:val="24"/>
                <w:szCs w:val="24"/>
              </w:rPr>
              <w:t>HC04</w:t>
            </w:r>
          </w:p>
        </w:tc>
        <w:tc>
          <w:tcPr>
            <w:tcW w:w="2432" w:type="pct"/>
            <w:tcBorders>
              <w:top w:val="single" w:color="auto" w:sz="4" w:space="0"/>
              <w:left w:val="single" w:color="auto" w:sz="4" w:space="0"/>
              <w:bottom w:val="single" w:color="auto" w:sz="4" w:space="0"/>
              <w:right w:val="single" w:color="auto" w:sz="4" w:space="0"/>
            </w:tcBorders>
            <w:shd w:val="clear" w:color="auto" w:fill="auto"/>
            <w:vAlign w:val="center"/>
          </w:tcPr>
          <w:p w14:paraId="003214BD">
            <w:pPr>
              <w:rPr>
                <w:rFonts w:ascii="楷体" w:hAnsi="楷体" w:eastAsia="楷体" w:cs="楷体"/>
                <w:sz w:val="24"/>
                <w:szCs w:val="24"/>
              </w:rPr>
            </w:pPr>
            <w:r>
              <w:rPr>
                <w:rFonts w:hint="eastAsia" w:ascii="楷体" w:hAnsi="楷体" w:eastAsia="楷体" w:cs="楷体"/>
                <w:sz w:val="24"/>
                <w:szCs w:val="24"/>
              </w:rPr>
              <w:t>其他违反国家相关标准和项目管理规定</w:t>
            </w:r>
          </w:p>
        </w:tc>
        <w:tc>
          <w:tcPr>
            <w:tcW w:w="1452" w:type="pct"/>
            <w:tcBorders>
              <w:top w:val="single" w:color="auto" w:sz="4" w:space="0"/>
              <w:left w:val="single" w:color="auto" w:sz="4" w:space="0"/>
              <w:bottom w:val="single" w:color="auto" w:sz="4" w:space="0"/>
              <w:right w:val="single" w:color="auto" w:sz="4" w:space="0"/>
            </w:tcBorders>
            <w:shd w:val="clear" w:color="auto" w:fill="auto"/>
            <w:vAlign w:val="center"/>
          </w:tcPr>
          <w:p w14:paraId="62DAF1DA">
            <w:pPr>
              <w:rPr>
                <w:rFonts w:ascii="楷体" w:hAnsi="楷体" w:eastAsia="楷体" w:cs="楷体"/>
                <w:sz w:val="24"/>
                <w:szCs w:val="24"/>
              </w:rPr>
            </w:pPr>
            <w:r>
              <w:rPr>
                <w:rFonts w:hint="eastAsia" w:ascii="楷体" w:hAnsi="楷体" w:eastAsia="楷体" w:cs="楷体"/>
                <w:sz w:val="24"/>
                <w:szCs w:val="24"/>
              </w:rPr>
              <w:t>每处每次500-50000元</w:t>
            </w:r>
          </w:p>
        </w:tc>
        <w:tc>
          <w:tcPr>
            <w:tcW w:w="478" w:type="pct"/>
            <w:tcBorders>
              <w:top w:val="single" w:color="auto" w:sz="4" w:space="0"/>
              <w:left w:val="single" w:color="auto" w:sz="4" w:space="0"/>
              <w:bottom w:val="single" w:color="auto" w:sz="4" w:space="0"/>
              <w:right w:val="single" w:color="auto" w:sz="4" w:space="0"/>
            </w:tcBorders>
            <w:shd w:val="clear" w:color="auto" w:fill="auto"/>
            <w:vAlign w:val="center"/>
          </w:tcPr>
          <w:p w14:paraId="2227E220">
            <w:pPr>
              <w:rPr>
                <w:rFonts w:ascii="楷体" w:hAnsi="楷体" w:eastAsia="楷体" w:cs="楷体"/>
                <w:sz w:val="24"/>
                <w:szCs w:val="24"/>
              </w:rPr>
            </w:pPr>
          </w:p>
        </w:tc>
      </w:tr>
    </w:tbl>
    <w:p w14:paraId="673D7879">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
          <w:sz w:val="24"/>
          <w:szCs w:val="24"/>
        </w:rPr>
      </w:pPr>
      <w:r>
        <w:rPr>
          <w:rFonts w:hint="eastAsia" w:ascii="楷体" w:hAnsi="楷体" w:eastAsia="楷体" w:cs="楷体"/>
          <w:b/>
          <w:sz w:val="24"/>
          <w:szCs w:val="24"/>
          <w:lang w:bidi="ar"/>
        </w:rPr>
        <w:t>5. 重要说明</w:t>
      </w:r>
    </w:p>
    <w:p w14:paraId="7E1E723C">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5.1 以上罚款均为人民币；</w:t>
      </w:r>
    </w:p>
    <w:p w14:paraId="7920878A">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5.2 收到罚款单之日起5个工作内上交罚款；</w:t>
      </w:r>
    </w:p>
    <w:p w14:paraId="04F0A1EE">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5.3 拒不缴纳罚款的，按应罚款金额的10倍在工程款中直接扣除；</w:t>
      </w:r>
    </w:p>
    <w:p w14:paraId="1F132634">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5.4 乙方对于分包单位的管理可参照本罚则，以约束其工作行为；</w:t>
      </w:r>
    </w:p>
    <w:p w14:paraId="5574AEA5">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5.5 甲方对乙方的安全处罚应按照本罚则执行，并将罚款缴纳入甲方指挥部统一管理;</w:t>
      </w:r>
    </w:p>
    <w:p w14:paraId="052A8991">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5.6 以上处罚标准按发现情况单次计算，不同违章违规行为累加处罚。</w:t>
      </w:r>
    </w:p>
    <w:p w14:paraId="7C173120">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5.7 凡违章违规行为均要受到处罚，在限期内整改完毕，拖延整改，拒不整改，甲方工程项指挥部均有权直接下停工令，并在原处罚的基础上加倍进行处罚，直至清出现场；对于文明施工管理问题，甲方工程指挥部有权调动其它单位人员，雇佣他人去完成，所发生的费用，由乙方支付。</w:t>
      </w:r>
    </w:p>
    <w:p w14:paraId="0636C778">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5.8 甲方保留对本细则的最终解释权。</w:t>
      </w:r>
    </w:p>
    <w:p w14:paraId="610CBD6E">
      <w:pPr>
        <w:keepNext w:val="0"/>
        <w:keepLines w:val="0"/>
        <w:pageBreakBefore w:val="0"/>
        <w:widowControl/>
        <w:kinsoku/>
        <w:wordWrap/>
        <w:topLinePunct w:val="0"/>
        <w:bidi w:val="0"/>
        <w:spacing w:line="400" w:lineRule="exact"/>
        <w:jc w:val="left"/>
      </w:pPr>
      <w:r>
        <w:br w:type="page"/>
      </w:r>
    </w:p>
    <w:p w14:paraId="4DB643C7">
      <w:pPr>
        <w:widowControl/>
        <w:jc w:val="left"/>
        <w:rPr>
          <w:rFonts w:ascii="楷体" w:hAnsi="楷体" w:eastAsia="楷体" w:cs="楷体"/>
          <w:sz w:val="24"/>
          <w:szCs w:val="24"/>
        </w:rPr>
      </w:pPr>
      <w:r>
        <w:rPr>
          <w:rFonts w:hint="eastAsia" w:ascii="楷体" w:hAnsi="楷体" w:eastAsia="楷体" w:cs="楷体"/>
          <w:sz w:val="24"/>
          <w:szCs w:val="24"/>
        </w:rPr>
        <w:t>安全管理协议书</w:t>
      </w:r>
      <w:r>
        <w:rPr>
          <w:rFonts w:ascii="楷体" w:hAnsi="楷体" w:eastAsia="楷体" w:cs="楷体"/>
          <w:sz w:val="24"/>
        </w:rPr>
        <w:t>-</w:t>
      </w:r>
      <w:r>
        <w:rPr>
          <w:rFonts w:hint="eastAsia" w:ascii="楷体" w:hAnsi="楷体" w:eastAsia="楷体" w:cs="楷体"/>
          <w:sz w:val="24"/>
        </w:rPr>
        <w:t>附件</w:t>
      </w:r>
      <w:r>
        <w:rPr>
          <w:rFonts w:ascii="楷体" w:hAnsi="楷体" w:eastAsia="楷体" w:cs="楷体"/>
          <w:sz w:val="24"/>
        </w:rPr>
        <w:t>2</w:t>
      </w:r>
      <w:r>
        <w:rPr>
          <w:rFonts w:hint="eastAsia" w:ascii="楷体" w:hAnsi="楷体" w:eastAsia="楷体" w:cs="楷体"/>
          <w:sz w:val="24"/>
          <w:szCs w:val="24"/>
        </w:rPr>
        <w:t>：</w:t>
      </w:r>
    </w:p>
    <w:p w14:paraId="0E6A8857">
      <w:pPr>
        <w:overflowPunct w:val="0"/>
        <w:autoSpaceDE w:val="0"/>
        <w:autoSpaceDN w:val="0"/>
        <w:adjustRightInd w:val="0"/>
        <w:snapToGrid w:val="0"/>
        <w:spacing w:line="360" w:lineRule="auto"/>
        <w:ind w:left="1260" w:leftChars="600" w:right="1260" w:rightChars="600"/>
        <w:jc w:val="center"/>
        <w:textAlignment w:val="baseline"/>
        <w:rPr>
          <w:rFonts w:ascii="楷体" w:hAnsi="楷体" w:eastAsia="楷体" w:cs="楷体"/>
          <w:bCs/>
          <w:kern w:val="44"/>
          <w:sz w:val="24"/>
          <w:szCs w:val="24"/>
        </w:rPr>
      </w:pPr>
      <w:r>
        <w:rPr>
          <w:rFonts w:hint="eastAsia" w:ascii="楷体" w:hAnsi="楷体" w:eastAsia="楷体" w:cs="楷体"/>
          <w:bCs/>
          <w:kern w:val="44"/>
          <w:sz w:val="24"/>
          <w:szCs w:val="24"/>
        </w:rPr>
        <w:t>事故处罚实施细则</w:t>
      </w:r>
    </w:p>
    <w:p w14:paraId="5B3FEE9A">
      <w:pPr>
        <w:snapToGrid w:val="0"/>
        <w:spacing w:line="360" w:lineRule="auto"/>
        <w:ind w:firstLine="480" w:firstLineChars="200"/>
        <w:rPr>
          <w:rFonts w:ascii="楷体" w:hAnsi="楷体" w:eastAsia="楷体" w:cs="楷体"/>
          <w:b/>
          <w:sz w:val="24"/>
          <w:szCs w:val="24"/>
        </w:rPr>
      </w:pPr>
      <w:r>
        <w:rPr>
          <w:rFonts w:hint="eastAsia" w:ascii="楷体" w:hAnsi="楷体" w:eastAsia="楷体" w:cs="楷体"/>
          <w:b/>
          <w:sz w:val="24"/>
          <w:szCs w:val="24"/>
          <w:lang w:bidi="ar"/>
        </w:rPr>
        <w:t>1. 范围</w:t>
      </w:r>
    </w:p>
    <w:p w14:paraId="5E7733A3">
      <w:pPr>
        <w:autoSpaceDE w:val="0"/>
        <w:autoSpaceDN w:val="0"/>
        <w:adjustRightInd w:val="0"/>
        <w:snapToGrid w:val="0"/>
        <w:spacing w:line="360" w:lineRule="auto"/>
        <w:ind w:firstLine="480" w:firstLineChars="200"/>
        <w:rPr>
          <w:rFonts w:ascii="楷体" w:hAnsi="楷体" w:eastAsia="楷体" w:cs="楷体"/>
          <w:kern w:val="0"/>
          <w:sz w:val="24"/>
          <w:szCs w:val="24"/>
        </w:rPr>
      </w:pPr>
      <w:r>
        <w:rPr>
          <w:rFonts w:hint="eastAsia" w:ascii="楷体" w:hAnsi="楷体" w:eastAsia="楷体" w:cs="楷体"/>
          <w:kern w:val="0"/>
          <w:sz w:val="24"/>
          <w:szCs w:val="24"/>
          <w:lang w:bidi="ar"/>
        </w:rPr>
        <w:t>1.1 本细则明确了甲方所有工程项目各类事故管理标准、管理内容、要求与方法。</w:t>
      </w:r>
    </w:p>
    <w:p w14:paraId="22FF70BE">
      <w:pPr>
        <w:autoSpaceDE w:val="0"/>
        <w:autoSpaceDN w:val="0"/>
        <w:adjustRightInd w:val="0"/>
        <w:snapToGrid w:val="0"/>
        <w:spacing w:line="360" w:lineRule="auto"/>
        <w:ind w:firstLine="480" w:firstLineChars="200"/>
        <w:rPr>
          <w:rFonts w:ascii="楷体" w:hAnsi="楷体" w:eastAsia="楷体" w:cs="楷体"/>
          <w:kern w:val="0"/>
          <w:sz w:val="24"/>
          <w:szCs w:val="24"/>
        </w:rPr>
      </w:pPr>
      <w:r>
        <w:rPr>
          <w:rFonts w:hint="eastAsia" w:ascii="楷体" w:hAnsi="楷体" w:eastAsia="楷体" w:cs="楷体"/>
          <w:kern w:val="0"/>
          <w:sz w:val="24"/>
          <w:szCs w:val="24"/>
          <w:lang w:bidi="ar"/>
        </w:rPr>
        <w:t>1.2 本规定适用于甲方所有标段的工程项目。</w:t>
      </w:r>
    </w:p>
    <w:p w14:paraId="3E5A5069">
      <w:pPr>
        <w:snapToGrid w:val="0"/>
        <w:spacing w:line="360" w:lineRule="auto"/>
        <w:ind w:firstLine="480" w:firstLineChars="200"/>
        <w:rPr>
          <w:rFonts w:ascii="楷体" w:hAnsi="楷体" w:eastAsia="楷体" w:cs="楷体"/>
          <w:b/>
          <w:sz w:val="24"/>
          <w:szCs w:val="24"/>
        </w:rPr>
      </w:pPr>
      <w:r>
        <w:rPr>
          <w:rFonts w:hint="eastAsia" w:ascii="楷体" w:hAnsi="楷体" w:eastAsia="楷体" w:cs="楷体"/>
          <w:b/>
          <w:sz w:val="24"/>
          <w:szCs w:val="24"/>
          <w:lang w:bidi="ar"/>
        </w:rPr>
        <w:t>2. 职责</w:t>
      </w:r>
    </w:p>
    <w:p w14:paraId="35A3497A">
      <w:pPr>
        <w:autoSpaceDE w:val="0"/>
        <w:autoSpaceDN w:val="0"/>
        <w:adjustRightInd w:val="0"/>
        <w:snapToGrid w:val="0"/>
        <w:spacing w:line="360" w:lineRule="auto"/>
        <w:ind w:firstLine="480" w:firstLineChars="200"/>
        <w:rPr>
          <w:rFonts w:ascii="楷体" w:hAnsi="楷体" w:eastAsia="楷体" w:cs="楷体"/>
          <w:kern w:val="0"/>
          <w:sz w:val="24"/>
          <w:szCs w:val="24"/>
        </w:rPr>
      </w:pPr>
      <w:r>
        <w:rPr>
          <w:rFonts w:hint="eastAsia" w:ascii="楷体" w:hAnsi="楷体" w:eastAsia="楷体" w:cs="楷体"/>
          <w:kern w:val="0"/>
          <w:sz w:val="24"/>
          <w:szCs w:val="24"/>
          <w:lang w:bidi="ar"/>
        </w:rPr>
        <w:t>2.1 甲方工程相关部门有关人员对事故单位按本细则标准执行处罚。处罚对象为乙方。</w:t>
      </w:r>
    </w:p>
    <w:p w14:paraId="1945712F">
      <w:pPr>
        <w:snapToGrid w:val="0"/>
        <w:spacing w:line="360" w:lineRule="auto"/>
        <w:ind w:firstLine="480" w:firstLineChars="200"/>
        <w:rPr>
          <w:rFonts w:ascii="楷体" w:hAnsi="楷体" w:eastAsia="楷体" w:cs="楷体"/>
          <w:b/>
          <w:sz w:val="24"/>
          <w:szCs w:val="24"/>
        </w:rPr>
      </w:pPr>
      <w:r>
        <w:rPr>
          <w:rFonts w:hint="eastAsia" w:ascii="楷体" w:hAnsi="楷体" w:eastAsia="楷体" w:cs="楷体"/>
          <w:b/>
          <w:sz w:val="24"/>
          <w:szCs w:val="24"/>
          <w:lang w:bidi="ar"/>
        </w:rPr>
        <w:t>3. 内容</w:t>
      </w:r>
    </w:p>
    <w:p w14:paraId="48000BB6">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3.1 未遂事故（有险情，但未造成人员伤害、设备损害，含重物高处坠物。）</w:t>
      </w:r>
    </w:p>
    <w:p w14:paraId="06EFC13C">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每次罚乙方三千元，通报批评。</w:t>
      </w:r>
    </w:p>
    <w:p w14:paraId="1FCF416E">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3.2 记录事故（人员轻微伤害不构成轻伤，设备未造成永久性损坏，可以修复。）</w:t>
      </w:r>
    </w:p>
    <w:p w14:paraId="55349144">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每次罚乙方五千元，通报批评。</w:t>
      </w:r>
    </w:p>
    <w:p w14:paraId="3595DEB0">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3.3 轻伤事故（国家有关规定鉴定）</w:t>
      </w:r>
    </w:p>
    <w:p w14:paraId="30AFB4C0">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发生一人次轻伤事故，罚乙方一万元，通报批评。一次事故多人轻伤，按每人次五千元累计相加达三万元终止。</w:t>
      </w:r>
    </w:p>
    <w:p w14:paraId="2B63797B">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3.3 重伤事故</w:t>
      </w:r>
    </w:p>
    <w:p w14:paraId="5A98284C">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发生一人次重伤事故，最低罚乙方三万元，通报批评。</w:t>
      </w:r>
    </w:p>
    <w:p w14:paraId="1A41F3F9">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3.4 死亡事故</w:t>
      </w:r>
    </w:p>
    <w:p w14:paraId="76CEF695">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3.4.1 发生一人次死亡事故罚乙方十万元，通报批评，停工整顿。</w:t>
      </w:r>
    </w:p>
    <w:p w14:paraId="4C0FE280">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3.5 机械设备人员重伤以上事故（按机械设备事故损失金额标准确认）最低罚款五万元，通报批评。</w:t>
      </w:r>
    </w:p>
    <w:p w14:paraId="54328285">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3.6 火灾事故（按有关火灾损失金额标准确定）最低罚款五万元,通报批评。</w:t>
      </w:r>
    </w:p>
    <w:p w14:paraId="73C89E19">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3.7人员重伤以上交通事故（以交通管理部门责任认定书为据）</w:t>
      </w:r>
    </w:p>
    <w:p w14:paraId="0BEA5426">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最低罚款五万元，通报批评。</w:t>
      </w:r>
    </w:p>
    <w:p w14:paraId="391045E5">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3.8 发生射线职业卫生伤害事故，大范围中暑、食物中毒、建筑物坍塌，受考核的环境污染事故。罚款五万元，上报政府机关，停工整顿，触犯刑律的由公安机关处置。</w:t>
      </w:r>
    </w:p>
    <w:p w14:paraId="3A734591">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3.9乙方轻伤负伤率超过3‰，处罚五万元。</w:t>
      </w:r>
    </w:p>
    <w:p w14:paraId="4A389DEA">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3.10 乙方故意瞒报、迟报、谎报发生的各类事故，处以发生事故类型罚款的2到5倍罚款，一切随之发生的法律责任由施工单位负责，并赔偿由此给甲方带来的一切损失。</w:t>
      </w:r>
    </w:p>
    <w:p w14:paraId="4315B5D5">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3.11 在政府、行业及相关行政管理、执法机构的检查中由于施工单位原因、过错所产生的一切法律、经济处罚皆由乙方负责，并赔偿由此带给甲方的损失。</w:t>
      </w:r>
    </w:p>
    <w:p w14:paraId="42D14666">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3.12乙方人员偷盗物品（物品本身加上附加价值计算）除赔偿该物品外，并处以物品价值的20%—50%。当事人移交公安机关处理。</w:t>
      </w:r>
    </w:p>
    <w:p w14:paraId="5A16B060">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3.13乙方丢失、损坏本公司委托施工单位保管的物品，除赔偿该物品外并承担由此造成的直接损失。</w:t>
      </w:r>
    </w:p>
    <w:p w14:paraId="0D73BE3F">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3.14 由乙方及其人员原因造成群体性事件的，罚款5万元每次，乙方负责赔偿所造成的损失，当事人移交公安机关处理，甲方保留继续追究责任的权利。</w:t>
      </w:r>
    </w:p>
    <w:p w14:paraId="1C41D767">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 甲方保留对本细则的最终解释权。</w:t>
      </w:r>
    </w:p>
    <w:p w14:paraId="6E3EA0C3">
      <w:r>
        <w:br w:type="page"/>
      </w:r>
    </w:p>
    <w:p w14:paraId="409A3F12">
      <w:pPr>
        <w:kinsoku/>
        <w:autoSpaceDE/>
        <w:autoSpaceDN/>
        <w:adjustRightInd/>
        <w:snapToGrid/>
        <w:spacing w:line="360" w:lineRule="auto"/>
        <w:textAlignment w:val="auto"/>
        <w:rPr>
          <w:rFonts w:ascii="楷体" w:hAnsi="楷体" w:eastAsia="楷体"/>
          <w:sz w:val="24"/>
          <w:szCs w:val="24"/>
        </w:rPr>
      </w:pPr>
      <w:r>
        <w:rPr>
          <w:rFonts w:hint="eastAsia" w:ascii="楷体" w:hAnsi="楷体" w:eastAsia="楷体"/>
          <w:sz w:val="24"/>
          <w:szCs w:val="24"/>
        </w:rPr>
        <w:t>附件</w:t>
      </w:r>
      <w:r>
        <w:rPr>
          <w:rFonts w:hint="eastAsia" w:ascii="楷体" w:hAnsi="楷体" w:eastAsia="楷体"/>
          <w:sz w:val="24"/>
          <w:szCs w:val="24"/>
          <w:lang w:val="en-US" w:eastAsia="zh-CN"/>
        </w:rPr>
        <w:t>3</w:t>
      </w:r>
      <w:r>
        <w:rPr>
          <w:rFonts w:hint="eastAsia" w:ascii="楷体" w:hAnsi="楷体" w:eastAsia="楷体"/>
          <w:sz w:val="24"/>
          <w:szCs w:val="24"/>
        </w:rPr>
        <w:t>：</w:t>
      </w:r>
    </w:p>
    <w:p w14:paraId="4FFE1DA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方正小标宋简体" w:hAnsi="黑体" w:eastAsia="方正小标宋简体"/>
          <w:b/>
          <w:sz w:val="44"/>
          <w:szCs w:val="44"/>
        </w:rPr>
      </w:pPr>
      <w:r>
        <w:rPr>
          <w:rFonts w:hint="eastAsia" w:ascii="方正小标宋简体" w:hAnsi="黑体" w:eastAsia="方正小标宋简体"/>
          <w:b/>
          <w:sz w:val="44"/>
          <w:szCs w:val="44"/>
        </w:rPr>
        <w:t>阳光合作协议</w:t>
      </w:r>
    </w:p>
    <w:p w14:paraId="7E56EF91">
      <w:pPr>
        <w:kinsoku/>
        <w:autoSpaceDE/>
        <w:autoSpaceDN/>
        <w:adjustRightInd/>
        <w:snapToGrid/>
        <w:spacing w:line="360" w:lineRule="auto"/>
        <w:ind w:firstLine="560" w:firstLineChars="200"/>
        <w:jc w:val="center"/>
        <w:textAlignment w:val="auto"/>
        <w:rPr>
          <w:rFonts w:ascii="宋体"/>
          <w:b/>
          <w:sz w:val="28"/>
          <w:szCs w:val="28"/>
        </w:rPr>
      </w:pPr>
    </w:p>
    <w:p w14:paraId="25895107">
      <w:pPr>
        <w:kinsoku/>
        <w:autoSpaceDE/>
        <w:autoSpaceDN/>
        <w:adjustRightInd/>
        <w:snapToGrid/>
        <w:spacing w:line="360" w:lineRule="auto"/>
        <w:ind w:firstLine="480" w:firstLineChars="200"/>
        <w:contextualSpacing/>
        <w:jc w:val="both"/>
        <w:textAlignment w:val="auto"/>
        <w:rPr>
          <w:rFonts w:hint="eastAsia" w:ascii="楷体" w:hAnsi="楷体" w:eastAsia="楷体"/>
          <w:sz w:val="24"/>
          <w:szCs w:val="24"/>
          <w:u w:val="single"/>
          <w:lang w:val="en-US" w:eastAsia="zh-CN"/>
        </w:rPr>
      </w:pPr>
      <w:r>
        <w:rPr>
          <w:rFonts w:hint="eastAsia" w:ascii="楷体" w:hAnsi="楷体" w:eastAsia="楷体" w:cs="宋体"/>
          <w:sz w:val="24"/>
          <w:szCs w:val="24"/>
        </w:rPr>
        <w:t>甲方：</w:t>
      </w:r>
      <w:r>
        <w:rPr>
          <w:rFonts w:hint="eastAsia" w:ascii="楷体" w:hAnsi="楷体" w:eastAsia="楷体"/>
          <w:sz w:val="24"/>
          <w:szCs w:val="24"/>
          <w:u w:val="single"/>
          <w:lang w:val="en-US" w:eastAsia="zh-CN"/>
        </w:rPr>
        <w:t>东莞市新东欣环保投资有限公司</w:t>
      </w:r>
    </w:p>
    <w:p w14:paraId="446F6991">
      <w:pPr>
        <w:kinsoku/>
        <w:autoSpaceDE/>
        <w:autoSpaceDN/>
        <w:adjustRightInd/>
        <w:snapToGrid/>
        <w:spacing w:line="360" w:lineRule="auto"/>
        <w:ind w:firstLine="480" w:firstLineChars="200"/>
        <w:contextualSpacing/>
        <w:jc w:val="both"/>
        <w:textAlignment w:val="auto"/>
        <w:rPr>
          <w:rFonts w:hint="eastAsia" w:ascii="楷体" w:hAnsi="楷体" w:eastAsia="楷体"/>
          <w:sz w:val="24"/>
          <w:szCs w:val="24"/>
          <w:lang w:val="en-US" w:eastAsia="zh-CN"/>
        </w:rPr>
      </w:pPr>
      <w:r>
        <w:rPr>
          <w:rFonts w:hint="eastAsia" w:ascii="楷体" w:hAnsi="楷体" w:eastAsia="楷体" w:cs="宋体"/>
          <w:sz w:val="24"/>
          <w:szCs w:val="24"/>
        </w:rPr>
        <w:t>乙</w:t>
      </w:r>
      <w:r>
        <w:rPr>
          <w:rFonts w:hint="eastAsia" w:ascii="楷体" w:hAnsi="楷体" w:eastAsia="楷体"/>
          <w:sz w:val="24"/>
          <w:szCs w:val="24"/>
        </w:rPr>
        <w:t>方：</w:t>
      </w:r>
      <w:r>
        <w:rPr>
          <w:rFonts w:hint="eastAsia" w:ascii="楷体" w:hAnsi="楷体" w:eastAsia="楷体"/>
          <w:sz w:val="24"/>
          <w:szCs w:val="24"/>
          <w:u w:val="single"/>
        </w:rPr>
        <w:t xml:space="preserve">                           </w:t>
      </w:r>
      <w:r>
        <w:rPr>
          <w:rFonts w:hint="eastAsia" w:ascii="楷体" w:hAnsi="楷体" w:eastAsia="楷体"/>
          <w:sz w:val="24"/>
          <w:szCs w:val="24"/>
          <w:u w:val="single"/>
          <w:lang w:val="en-US" w:eastAsia="zh-CN"/>
        </w:rPr>
        <w:t xml:space="preserve"> </w:t>
      </w:r>
    </w:p>
    <w:p w14:paraId="00069A66">
      <w:pPr>
        <w:pStyle w:val="2"/>
        <w:spacing w:after="0" w:line="360" w:lineRule="auto"/>
        <w:ind w:firstLine="200"/>
        <w:jc w:val="both"/>
        <w:rPr>
          <w:rFonts w:ascii="楷体" w:hAnsi="楷体" w:eastAsia="楷体"/>
          <w:sz w:val="24"/>
          <w:szCs w:val="24"/>
        </w:rPr>
      </w:pPr>
    </w:p>
    <w:p w14:paraId="6372DF5A">
      <w:pPr>
        <w:kinsoku/>
        <w:autoSpaceDE/>
        <w:autoSpaceDN/>
        <w:adjustRightInd/>
        <w:snapToGrid/>
        <w:spacing w:line="360" w:lineRule="auto"/>
        <w:ind w:firstLine="480" w:firstLineChars="200"/>
        <w:contextualSpacing/>
        <w:jc w:val="both"/>
        <w:textAlignment w:val="auto"/>
        <w:rPr>
          <w:rFonts w:ascii="楷体" w:hAnsi="楷体" w:eastAsia="楷体"/>
          <w:sz w:val="24"/>
          <w:szCs w:val="24"/>
        </w:rPr>
      </w:pPr>
      <w:r>
        <w:rPr>
          <w:rFonts w:hint="eastAsia" w:ascii="楷体" w:hAnsi="楷体" w:eastAsia="楷体"/>
          <w:sz w:val="24"/>
          <w:szCs w:val="24"/>
        </w:rPr>
        <w:t>甲乙双方于</w:t>
      </w:r>
      <w:r>
        <w:rPr>
          <w:rFonts w:hint="eastAsia" w:ascii="楷体" w:hAnsi="楷体" w:eastAsia="楷体"/>
          <w:sz w:val="24"/>
          <w:szCs w:val="24"/>
          <w:u w:val="single"/>
        </w:rPr>
        <w:t xml:space="preserve">      </w:t>
      </w:r>
      <w:r>
        <w:rPr>
          <w:rFonts w:hint="eastAsia" w:ascii="楷体" w:hAnsi="楷体" w:eastAsia="楷体"/>
          <w:sz w:val="24"/>
          <w:szCs w:val="24"/>
        </w:rPr>
        <w:t>年</w:t>
      </w:r>
      <w:r>
        <w:rPr>
          <w:rFonts w:hint="eastAsia" w:ascii="楷体" w:hAnsi="楷体" w:eastAsia="楷体"/>
          <w:sz w:val="24"/>
          <w:szCs w:val="24"/>
          <w:u w:val="single"/>
        </w:rPr>
        <w:t xml:space="preserve">      </w:t>
      </w:r>
      <w:r>
        <w:rPr>
          <w:rFonts w:hint="eastAsia" w:ascii="楷体" w:hAnsi="楷体" w:eastAsia="楷体"/>
          <w:sz w:val="24"/>
          <w:szCs w:val="24"/>
        </w:rPr>
        <w:t>月</w:t>
      </w:r>
      <w:r>
        <w:rPr>
          <w:rFonts w:hint="eastAsia" w:ascii="楷体" w:hAnsi="楷体" w:eastAsia="楷体"/>
          <w:sz w:val="24"/>
          <w:szCs w:val="24"/>
          <w:u w:val="single"/>
        </w:rPr>
        <w:t xml:space="preserve">      </w:t>
      </w:r>
      <w:r>
        <w:rPr>
          <w:rFonts w:hint="eastAsia" w:ascii="楷体" w:hAnsi="楷体" w:eastAsia="楷体"/>
          <w:sz w:val="24"/>
          <w:szCs w:val="24"/>
        </w:rPr>
        <w:t>日签署了《东莞市新东欣环保投资有限公司废水车间蒸发器清洗服务项目合同》（以下简称原合同），为加强双方阳光合作，保证职员职业安全，甲乙双方经协商签订本协议并作为双方共同遵守的阳光合作行为准则。</w:t>
      </w:r>
    </w:p>
    <w:p w14:paraId="6F14F0A0">
      <w:pPr>
        <w:kinsoku/>
        <w:autoSpaceDE/>
        <w:autoSpaceDN/>
        <w:adjustRightInd/>
        <w:snapToGrid/>
        <w:spacing w:line="360" w:lineRule="auto"/>
        <w:ind w:firstLine="480" w:firstLineChars="200"/>
        <w:contextualSpacing/>
        <w:jc w:val="both"/>
        <w:textAlignment w:val="auto"/>
        <w:rPr>
          <w:rFonts w:ascii="楷体" w:hAnsi="楷体" w:eastAsia="楷体"/>
          <w:b/>
          <w:sz w:val="24"/>
          <w:szCs w:val="24"/>
        </w:rPr>
      </w:pPr>
      <w:r>
        <w:rPr>
          <w:rFonts w:hint="eastAsia" w:ascii="楷体" w:hAnsi="楷体" w:eastAsia="楷体"/>
          <w:b/>
          <w:sz w:val="24"/>
          <w:szCs w:val="24"/>
        </w:rPr>
        <w:t>一、甲方责任</w:t>
      </w:r>
    </w:p>
    <w:p w14:paraId="6648E31B">
      <w:pPr>
        <w:kinsoku/>
        <w:autoSpaceDE/>
        <w:autoSpaceDN/>
        <w:adjustRightInd/>
        <w:snapToGrid/>
        <w:spacing w:line="360" w:lineRule="auto"/>
        <w:ind w:firstLine="480" w:firstLineChars="200"/>
        <w:contextualSpacing/>
        <w:jc w:val="both"/>
        <w:textAlignment w:val="auto"/>
        <w:rPr>
          <w:rFonts w:ascii="楷体" w:hAnsi="楷体" w:eastAsia="楷体"/>
          <w:sz w:val="24"/>
          <w:szCs w:val="24"/>
        </w:rPr>
      </w:pPr>
      <w:r>
        <w:rPr>
          <w:rFonts w:hint="eastAsia" w:ascii="楷体" w:hAnsi="楷体" w:eastAsia="楷体"/>
          <w:sz w:val="24"/>
          <w:szCs w:val="24"/>
        </w:rPr>
        <w:t>1.甲方有责任向乙方介绍本单位有关采购管理通用原则和本协议的规定。</w:t>
      </w:r>
    </w:p>
    <w:p w14:paraId="140682CB">
      <w:pPr>
        <w:kinsoku/>
        <w:autoSpaceDE/>
        <w:autoSpaceDN/>
        <w:adjustRightInd/>
        <w:snapToGrid/>
        <w:spacing w:line="360" w:lineRule="auto"/>
        <w:ind w:firstLine="480" w:firstLineChars="200"/>
        <w:contextualSpacing/>
        <w:jc w:val="both"/>
        <w:textAlignment w:val="auto"/>
        <w:rPr>
          <w:rFonts w:ascii="楷体" w:hAnsi="楷体" w:eastAsia="楷体"/>
          <w:sz w:val="24"/>
          <w:szCs w:val="24"/>
        </w:rPr>
      </w:pPr>
      <w:r>
        <w:rPr>
          <w:rFonts w:hint="eastAsia" w:ascii="楷体" w:hAnsi="楷体" w:eastAsia="楷体"/>
          <w:sz w:val="24"/>
          <w:szCs w:val="24"/>
        </w:rPr>
        <w:t>2.甲方有责任对本单位相关人员进行阳光合作教育。</w:t>
      </w:r>
    </w:p>
    <w:p w14:paraId="5E342621">
      <w:pPr>
        <w:kinsoku/>
        <w:autoSpaceDE/>
        <w:autoSpaceDN/>
        <w:adjustRightInd/>
        <w:snapToGrid/>
        <w:spacing w:line="360" w:lineRule="auto"/>
        <w:ind w:firstLine="480" w:firstLineChars="200"/>
        <w:contextualSpacing/>
        <w:jc w:val="both"/>
        <w:textAlignment w:val="auto"/>
        <w:rPr>
          <w:rFonts w:ascii="楷体" w:hAnsi="楷体" w:eastAsia="楷体"/>
          <w:sz w:val="24"/>
          <w:szCs w:val="24"/>
        </w:rPr>
      </w:pPr>
      <w:r>
        <w:rPr>
          <w:rFonts w:hint="eastAsia" w:ascii="楷体" w:hAnsi="楷体" w:eastAsia="楷体"/>
          <w:sz w:val="24"/>
          <w:szCs w:val="24"/>
        </w:rPr>
        <w:t xml:space="preserve">3.甲方人员应严格遵守本单位有关阳光合作管理的规定，不得接受乙方任何形式的回扣、实物、现金、有价证券、礼券等有价物品，不得参加乙方提供的旅游或其他可能影响职务行为公正履行的活动。 </w:t>
      </w:r>
    </w:p>
    <w:p w14:paraId="22C1CD2A">
      <w:pPr>
        <w:kinsoku/>
        <w:autoSpaceDE/>
        <w:autoSpaceDN/>
        <w:adjustRightInd/>
        <w:snapToGrid/>
        <w:spacing w:line="360" w:lineRule="auto"/>
        <w:ind w:firstLine="480" w:firstLineChars="200"/>
        <w:contextualSpacing/>
        <w:jc w:val="both"/>
        <w:textAlignment w:val="auto"/>
        <w:rPr>
          <w:rFonts w:ascii="楷体" w:hAnsi="楷体" w:eastAsia="楷体"/>
          <w:sz w:val="24"/>
          <w:szCs w:val="24"/>
        </w:rPr>
      </w:pPr>
      <w:r>
        <w:rPr>
          <w:rFonts w:hint="eastAsia" w:ascii="楷体" w:hAnsi="楷体" w:eastAsia="楷体"/>
          <w:sz w:val="24"/>
          <w:szCs w:val="24"/>
        </w:rPr>
        <w:t>4.甲方人员如违反阳光合作管理制度及本协议规定，甲方视情节轻重、影响大小给予行政及经济处罚。</w:t>
      </w:r>
    </w:p>
    <w:p w14:paraId="59E2315A">
      <w:pPr>
        <w:kinsoku/>
        <w:autoSpaceDE/>
        <w:autoSpaceDN/>
        <w:adjustRightInd/>
        <w:snapToGrid/>
        <w:spacing w:line="360" w:lineRule="auto"/>
        <w:ind w:firstLine="480" w:firstLineChars="200"/>
        <w:contextualSpacing/>
        <w:jc w:val="both"/>
        <w:textAlignment w:val="auto"/>
        <w:rPr>
          <w:rFonts w:ascii="楷体" w:hAnsi="楷体" w:eastAsia="楷体"/>
          <w:sz w:val="24"/>
          <w:szCs w:val="24"/>
        </w:rPr>
      </w:pPr>
      <w:r>
        <w:rPr>
          <w:rFonts w:hint="eastAsia" w:ascii="楷体" w:hAnsi="楷体" w:eastAsia="楷体"/>
          <w:sz w:val="24"/>
          <w:szCs w:val="24"/>
        </w:rPr>
        <w:t>5．对于乙方举报甲方人员违反阳光合作规定的情况，甲方应及时进行调查，根据调查情况进行处理，并将调查结果向乙方反馈。</w:t>
      </w:r>
    </w:p>
    <w:p w14:paraId="33884FED">
      <w:pPr>
        <w:kinsoku/>
        <w:autoSpaceDE/>
        <w:autoSpaceDN/>
        <w:adjustRightInd/>
        <w:snapToGrid/>
        <w:spacing w:line="360" w:lineRule="auto"/>
        <w:ind w:firstLine="480" w:firstLineChars="200"/>
        <w:contextualSpacing/>
        <w:jc w:val="both"/>
        <w:textAlignment w:val="auto"/>
        <w:rPr>
          <w:rFonts w:ascii="楷体" w:hAnsi="楷体" w:eastAsia="楷体"/>
          <w:sz w:val="24"/>
          <w:szCs w:val="24"/>
        </w:rPr>
      </w:pPr>
      <w:r>
        <w:rPr>
          <w:rFonts w:hint="eastAsia" w:ascii="楷体" w:hAnsi="楷体" w:eastAsia="楷体"/>
          <w:sz w:val="24"/>
          <w:szCs w:val="24"/>
        </w:rPr>
        <w:t>6.接受举报的一方应为举报方保密，不得对举报方进行报复，对举报属实和严格遵守《阳光合作协议》的合作方，在同等条件下给予后续合作的优先权。</w:t>
      </w:r>
    </w:p>
    <w:p w14:paraId="3C660CC2">
      <w:pPr>
        <w:kinsoku/>
        <w:autoSpaceDE/>
        <w:autoSpaceDN/>
        <w:adjustRightInd/>
        <w:snapToGrid/>
        <w:spacing w:line="360" w:lineRule="auto"/>
        <w:ind w:firstLine="200"/>
        <w:contextualSpacing/>
        <w:jc w:val="both"/>
        <w:textAlignment w:val="auto"/>
        <w:rPr>
          <w:rFonts w:ascii="楷体" w:hAnsi="楷体" w:eastAsia="楷体"/>
          <w:b/>
          <w:sz w:val="24"/>
          <w:szCs w:val="24"/>
        </w:rPr>
      </w:pPr>
      <w:r>
        <w:rPr>
          <w:rFonts w:hint="eastAsia" w:ascii="楷体" w:hAnsi="楷体" w:eastAsia="楷体"/>
          <w:b/>
          <w:sz w:val="24"/>
          <w:szCs w:val="24"/>
        </w:rPr>
        <w:t>二、乙方责任</w:t>
      </w:r>
    </w:p>
    <w:p w14:paraId="56888DFE">
      <w:pPr>
        <w:kinsoku/>
        <w:autoSpaceDE/>
        <w:autoSpaceDN/>
        <w:adjustRightInd/>
        <w:snapToGrid/>
        <w:spacing w:line="360" w:lineRule="auto"/>
        <w:ind w:firstLine="480" w:firstLineChars="200"/>
        <w:contextualSpacing/>
        <w:jc w:val="both"/>
        <w:textAlignment w:val="auto"/>
        <w:rPr>
          <w:rFonts w:ascii="楷体" w:hAnsi="楷体" w:eastAsia="楷体"/>
          <w:sz w:val="24"/>
          <w:szCs w:val="24"/>
        </w:rPr>
      </w:pPr>
      <w:r>
        <w:rPr>
          <w:rFonts w:hint="eastAsia" w:ascii="楷体" w:hAnsi="楷体" w:eastAsia="楷体"/>
          <w:sz w:val="24"/>
          <w:szCs w:val="24"/>
        </w:rPr>
        <w:t>1.乙方应保证乙方人员了解甲方有关采购管理通用原则和及本协议的规定，并遵照执行。</w:t>
      </w:r>
    </w:p>
    <w:p w14:paraId="252862F6">
      <w:pPr>
        <w:kinsoku/>
        <w:autoSpaceDE/>
        <w:autoSpaceDN/>
        <w:adjustRightInd/>
        <w:snapToGrid/>
        <w:spacing w:line="360" w:lineRule="auto"/>
        <w:ind w:firstLine="480" w:firstLineChars="200"/>
        <w:contextualSpacing/>
        <w:jc w:val="both"/>
        <w:textAlignment w:val="auto"/>
        <w:rPr>
          <w:rFonts w:ascii="楷体" w:hAnsi="楷体" w:eastAsia="楷体"/>
          <w:sz w:val="24"/>
          <w:szCs w:val="24"/>
        </w:rPr>
      </w:pPr>
      <w:r>
        <w:rPr>
          <w:rFonts w:hint="eastAsia" w:ascii="楷体" w:hAnsi="楷体" w:eastAsia="楷体"/>
          <w:sz w:val="24"/>
          <w:szCs w:val="24"/>
        </w:rPr>
        <w:t>2.乙方不得以任何形式给予甲方人员回扣、赠送实物、现金、有价证券、礼券等有价物品或提供旅游等其他可能影响职务行为公正履行的活动（以下统称“财物”）。</w:t>
      </w:r>
    </w:p>
    <w:p w14:paraId="56FF2483">
      <w:pPr>
        <w:kinsoku/>
        <w:autoSpaceDE/>
        <w:autoSpaceDN/>
        <w:adjustRightInd/>
        <w:snapToGrid/>
        <w:spacing w:line="360" w:lineRule="auto"/>
        <w:ind w:firstLine="480" w:firstLineChars="200"/>
        <w:contextualSpacing/>
        <w:jc w:val="both"/>
        <w:textAlignment w:val="auto"/>
        <w:rPr>
          <w:rFonts w:ascii="楷体" w:hAnsi="楷体" w:eastAsia="楷体"/>
          <w:color w:val="auto"/>
          <w:sz w:val="24"/>
          <w:szCs w:val="24"/>
        </w:rPr>
      </w:pPr>
      <w:r>
        <w:rPr>
          <w:rFonts w:hint="eastAsia" w:ascii="楷体" w:hAnsi="楷体" w:eastAsia="楷体"/>
          <w:sz w:val="24"/>
          <w:szCs w:val="24"/>
        </w:rPr>
        <w:t>3</w:t>
      </w:r>
      <w:r>
        <w:rPr>
          <w:rFonts w:hint="eastAsia" w:ascii="楷体" w:hAnsi="楷体" w:eastAsia="楷体"/>
          <w:color w:val="auto"/>
          <w:sz w:val="24"/>
          <w:szCs w:val="24"/>
        </w:rPr>
        <w:t>.乙方有责任接受甲方对乙方在合作期间阳光合作管理执行情况的监督，并对甲方相关调查工作主动配合。</w:t>
      </w:r>
    </w:p>
    <w:p w14:paraId="71C66325">
      <w:pPr>
        <w:kinsoku/>
        <w:autoSpaceDE/>
        <w:autoSpaceDN/>
        <w:adjustRightInd/>
        <w:snapToGrid/>
        <w:spacing w:line="360" w:lineRule="auto"/>
        <w:ind w:firstLine="480" w:firstLineChars="200"/>
        <w:contextualSpacing/>
        <w:jc w:val="both"/>
        <w:textAlignment w:val="auto"/>
        <w:rPr>
          <w:rFonts w:ascii="楷体" w:hAnsi="楷体" w:eastAsia="楷体"/>
          <w:color w:val="auto"/>
          <w:sz w:val="24"/>
          <w:szCs w:val="24"/>
        </w:rPr>
      </w:pPr>
      <w:r>
        <w:rPr>
          <w:rFonts w:hint="eastAsia" w:ascii="楷体" w:hAnsi="楷体" w:eastAsia="楷体"/>
          <w:color w:val="auto"/>
          <w:sz w:val="24"/>
          <w:szCs w:val="24"/>
        </w:rPr>
        <w:t>4.乙方有义务就甲方人员任何形式的索取或收受财物行为及时向甲方（直接联系人为东莞实业投资控股集团有限公司法律合规部）举报。如乙方或其人员向甲方人员给予财物，或甲方人员向乙方索取财物，乙方满足其要求并且未向甲方举报的，一经查实（包括但不限于被甲方核实属实，或者被司法机关或第三方核实属实的），甲方将在内部通报；乙方除应向甲方赔偿由此给甲方造成的损失外，乙方还应向甲方支付相当于原合同总价的10%的违约金，并对乙方知情不报人员进行相应处罚；连续出现2次及以上类似情况或者如因乙方在合作期间贿赂甲方人员，被司法机关立案查处核实属实的，甲方有权解除原合同，如甲方解除原合同的，则乙方应退还甲方所支付的所有款项并按原合同与本合同约定承担违约责任，且五年之内不得作为东实集团（东莞实业投资控股集团有限公司及下属子公司）合格供应商。</w:t>
      </w:r>
    </w:p>
    <w:p w14:paraId="2E6431C8">
      <w:pPr>
        <w:kinsoku/>
        <w:autoSpaceDE/>
        <w:autoSpaceDN/>
        <w:adjustRightInd/>
        <w:snapToGrid/>
        <w:spacing w:line="360" w:lineRule="auto"/>
        <w:ind w:firstLine="480" w:firstLineChars="200"/>
        <w:contextualSpacing/>
        <w:jc w:val="both"/>
        <w:textAlignment w:val="auto"/>
        <w:rPr>
          <w:rFonts w:ascii="楷体" w:hAnsi="楷体" w:eastAsia="楷体"/>
          <w:color w:val="auto"/>
          <w:sz w:val="24"/>
          <w:szCs w:val="24"/>
        </w:rPr>
      </w:pPr>
      <w:r>
        <w:rPr>
          <w:rFonts w:hint="eastAsia" w:ascii="楷体" w:hAnsi="楷体" w:eastAsia="楷体"/>
          <w:color w:val="auto"/>
          <w:sz w:val="24"/>
          <w:szCs w:val="24"/>
        </w:rPr>
        <w:t xml:space="preserve">5．甲方接受乙方实名或匿名举报，保证为举报者的信息保密，常设举报部门及电话： </w:t>
      </w:r>
    </w:p>
    <w:p w14:paraId="5DAA95B8">
      <w:pPr>
        <w:kinsoku/>
        <w:autoSpaceDE/>
        <w:autoSpaceDN/>
        <w:adjustRightInd/>
        <w:snapToGrid/>
        <w:spacing w:line="360" w:lineRule="auto"/>
        <w:ind w:firstLine="480" w:firstLineChars="200"/>
        <w:contextualSpacing/>
        <w:jc w:val="both"/>
        <w:textAlignment w:val="auto"/>
        <w:rPr>
          <w:rFonts w:ascii="楷体" w:hAnsi="楷体" w:eastAsia="楷体"/>
          <w:color w:val="auto"/>
          <w:sz w:val="24"/>
          <w:szCs w:val="24"/>
        </w:rPr>
      </w:pPr>
      <w:r>
        <w:rPr>
          <w:rFonts w:hint="eastAsia" w:ascii="楷体" w:hAnsi="楷体" w:eastAsia="楷体"/>
          <w:color w:val="auto"/>
          <w:sz w:val="24"/>
          <w:szCs w:val="24"/>
        </w:rPr>
        <w:t>举报受理部门：东莞实业投资控股集团有限公司法律合规部</w:t>
      </w:r>
    </w:p>
    <w:p w14:paraId="0F9231A2">
      <w:pPr>
        <w:kinsoku/>
        <w:autoSpaceDE/>
        <w:autoSpaceDN/>
        <w:adjustRightInd/>
        <w:snapToGrid/>
        <w:spacing w:line="360" w:lineRule="auto"/>
        <w:ind w:firstLine="480" w:firstLineChars="200"/>
        <w:contextualSpacing/>
        <w:jc w:val="both"/>
        <w:textAlignment w:val="auto"/>
        <w:rPr>
          <w:rFonts w:ascii="楷体" w:hAnsi="楷体" w:eastAsia="楷体"/>
          <w:color w:val="auto"/>
          <w:sz w:val="24"/>
          <w:szCs w:val="24"/>
        </w:rPr>
      </w:pPr>
      <w:r>
        <w:rPr>
          <w:rFonts w:hint="eastAsia" w:ascii="楷体" w:hAnsi="楷体" w:eastAsia="楷体"/>
          <w:color w:val="auto"/>
          <w:sz w:val="24"/>
          <w:szCs w:val="24"/>
        </w:rPr>
        <w:t>东实集团举报邮箱：dgsyxf@163.com</w:t>
      </w:r>
    </w:p>
    <w:p w14:paraId="2D6A3363">
      <w:pPr>
        <w:kinsoku/>
        <w:autoSpaceDE/>
        <w:autoSpaceDN/>
        <w:adjustRightInd/>
        <w:snapToGrid/>
        <w:spacing w:line="360" w:lineRule="auto"/>
        <w:ind w:firstLine="480" w:firstLineChars="200"/>
        <w:contextualSpacing/>
        <w:jc w:val="both"/>
        <w:textAlignment w:val="auto"/>
        <w:rPr>
          <w:rFonts w:ascii="楷体" w:hAnsi="楷体" w:eastAsia="楷体"/>
          <w:color w:val="auto"/>
          <w:sz w:val="24"/>
          <w:szCs w:val="24"/>
        </w:rPr>
      </w:pPr>
      <w:r>
        <w:rPr>
          <w:rFonts w:hint="eastAsia" w:ascii="楷体" w:hAnsi="楷体" w:eastAsia="楷体"/>
          <w:color w:val="auto"/>
          <w:sz w:val="24"/>
          <w:szCs w:val="24"/>
        </w:rPr>
        <w:t>东实集团举报电话：0769-28820703（周一至周五9:00-12:00和14:00-18:00）</w:t>
      </w:r>
    </w:p>
    <w:p w14:paraId="1BACE73A">
      <w:pPr>
        <w:kinsoku/>
        <w:autoSpaceDE/>
        <w:autoSpaceDN/>
        <w:adjustRightInd/>
        <w:snapToGrid/>
        <w:spacing w:line="360" w:lineRule="auto"/>
        <w:ind w:firstLine="480" w:firstLineChars="200"/>
        <w:contextualSpacing/>
        <w:jc w:val="both"/>
        <w:textAlignment w:val="auto"/>
        <w:rPr>
          <w:rFonts w:ascii="楷体" w:hAnsi="楷体" w:eastAsia="楷体"/>
          <w:color w:val="auto"/>
          <w:sz w:val="24"/>
          <w:szCs w:val="24"/>
        </w:rPr>
      </w:pPr>
      <w:r>
        <w:rPr>
          <w:rFonts w:hint="eastAsia" w:ascii="楷体" w:hAnsi="楷体" w:eastAsia="楷体"/>
          <w:color w:val="auto"/>
          <w:sz w:val="24"/>
          <w:szCs w:val="24"/>
        </w:rPr>
        <w:t>邮寄地址：东莞市东城区八一路1号机关二号大院9号楼，东莞实业投资控股集团有限公司法律合规部收，邮编523000。</w:t>
      </w:r>
    </w:p>
    <w:p w14:paraId="518EACA7">
      <w:pPr>
        <w:kinsoku/>
        <w:autoSpaceDE/>
        <w:autoSpaceDN/>
        <w:adjustRightInd/>
        <w:snapToGrid/>
        <w:spacing w:line="360" w:lineRule="auto"/>
        <w:ind w:firstLine="480" w:firstLineChars="200"/>
        <w:contextualSpacing/>
        <w:jc w:val="both"/>
        <w:textAlignment w:val="auto"/>
        <w:rPr>
          <w:rFonts w:ascii="楷体" w:hAnsi="楷体" w:eastAsia="楷体"/>
          <w:b/>
          <w:color w:val="auto"/>
          <w:sz w:val="24"/>
          <w:szCs w:val="24"/>
        </w:rPr>
      </w:pPr>
      <w:r>
        <w:rPr>
          <w:rFonts w:hint="eastAsia" w:ascii="楷体" w:hAnsi="楷体" w:eastAsia="楷体"/>
          <w:b/>
          <w:color w:val="auto"/>
          <w:sz w:val="24"/>
          <w:szCs w:val="24"/>
        </w:rPr>
        <w:t>三、其他</w:t>
      </w:r>
    </w:p>
    <w:p w14:paraId="4A659FEB">
      <w:pPr>
        <w:kinsoku/>
        <w:autoSpaceDE/>
        <w:autoSpaceDN/>
        <w:adjustRightInd/>
        <w:snapToGrid/>
        <w:spacing w:line="360" w:lineRule="auto"/>
        <w:ind w:firstLine="480" w:firstLineChars="200"/>
        <w:contextualSpacing/>
        <w:jc w:val="both"/>
        <w:textAlignment w:val="auto"/>
        <w:rPr>
          <w:rFonts w:ascii="楷体" w:hAnsi="楷体" w:eastAsia="楷体"/>
          <w:color w:val="auto"/>
          <w:sz w:val="24"/>
          <w:szCs w:val="24"/>
        </w:rPr>
      </w:pPr>
      <w:r>
        <w:rPr>
          <w:rFonts w:hint="eastAsia" w:ascii="楷体" w:hAnsi="楷体" w:eastAsia="楷体"/>
          <w:color w:val="auto"/>
          <w:sz w:val="24"/>
          <w:szCs w:val="24"/>
        </w:rPr>
        <w:t>1.本协议是原合同的补充协议，与原合同有同等法律效力。</w:t>
      </w:r>
    </w:p>
    <w:p w14:paraId="26AD51AE">
      <w:pPr>
        <w:kinsoku/>
        <w:autoSpaceDE/>
        <w:autoSpaceDN/>
        <w:adjustRightInd/>
        <w:snapToGrid/>
        <w:spacing w:line="360" w:lineRule="auto"/>
        <w:ind w:firstLine="480" w:firstLineChars="200"/>
        <w:contextualSpacing/>
        <w:jc w:val="both"/>
        <w:textAlignment w:val="auto"/>
        <w:rPr>
          <w:rFonts w:ascii="楷体" w:hAnsi="楷体" w:eastAsia="楷体"/>
          <w:color w:val="auto"/>
          <w:sz w:val="24"/>
          <w:szCs w:val="24"/>
        </w:rPr>
      </w:pPr>
      <w:r>
        <w:rPr>
          <w:rFonts w:hint="eastAsia" w:ascii="楷体" w:hAnsi="楷体" w:eastAsia="楷体"/>
          <w:color w:val="auto"/>
          <w:sz w:val="24"/>
          <w:szCs w:val="24"/>
        </w:rPr>
        <w:t>2.</w:t>
      </w:r>
      <w:r>
        <w:rPr>
          <w:rFonts w:ascii="楷体" w:hAnsi="楷体" w:eastAsia="楷体"/>
          <w:color w:val="auto"/>
          <w:sz w:val="24"/>
          <w:szCs w:val="24"/>
        </w:rPr>
        <w:t>本</w:t>
      </w:r>
      <w:r>
        <w:rPr>
          <w:rFonts w:hint="eastAsia" w:ascii="楷体" w:hAnsi="楷体" w:eastAsia="楷体"/>
          <w:color w:val="auto"/>
          <w:sz w:val="24"/>
          <w:szCs w:val="24"/>
        </w:rPr>
        <w:t>协议</w:t>
      </w:r>
      <w:r>
        <w:rPr>
          <w:rFonts w:ascii="楷体" w:hAnsi="楷体" w:eastAsia="楷体"/>
          <w:color w:val="auto"/>
          <w:sz w:val="24"/>
          <w:szCs w:val="24"/>
        </w:rPr>
        <w:t>一式</w:t>
      </w:r>
      <w:r>
        <w:rPr>
          <w:rFonts w:hint="eastAsia" w:ascii="楷体" w:hAnsi="楷体" w:eastAsia="楷体"/>
          <w:color w:val="auto"/>
          <w:sz w:val="24"/>
          <w:szCs w:val="24"/>
        </w:rPr>
        <w:t>陆</w:t>
      </w:r>
      <w:r>
        <w:rPr>
          <w:rFonts w:ascii="楷体" w:hAnsi="楷体" w:eastAsia="楷体"/>
          <w:color w:val="auto"/>
          <w:sz w:val="24"/>
          <w:szCs w:val="24"/>
        </w:rPr>
        <w:t>份，甲方执</w:t>
      </w:r>
      <w:r>
        <w:rPr>
          <w:rFonts w:hint="eastAsia" w:ascii="楷体" w:hAnsi="楷体" w:eastAsia="楷体"/>
          <w:color w:val="auto"/>
          <w:sz w:val="24"/>
          <w:szCs w:val="24"/>
        </w:rPr>
        <w:t>肆</w:t>
      </w:r>
      <w:r>
        <w:rPr>
          <w:rFonts w:ascii="楷体" w:hAnsi="楷体" w:eastAsia="楷体"/>
          <w:color w:val="auto"/>
          <w:sz w:val="24"/>
          <w:szCs w:val="24"/>
        </w:rPr>
        <w:t>份，乙方执</w:t>
      </w:r>
      <w:r>
        <w:rPr>
          <w:rFonts w:hint="eastAsia" w:ascii="楷体" w:hAnsi="楷体" w:eastAsia="楷体"/>
          <w:color w:val="auto"/>
          <w:sz w:val="24"/>
          <w:szCs w:val="24"/>
        </w:rPr>
        <w:t>贰</w:t>
      </w:r>
      <w:r>
        <w:rPr>
          <w:rFonts w:ascii="楷体" w:hAnsi="楷体" w:eastAsia="楷体"/>
          <w:color w:val="auto"/>
          <w:sz w:val="24"/>
          <w:szCs w:val="24"/>
        </w:rPr>
        <w:t>份</w:t>
      </w:r>
      <w:r>
        <w:rPr>
          <w:rFonts w:hint="eastAsia" w:ascii="楷体" w:hAnsi="楷体" w:eastAsia="楷体"/>
          <w:color w:val="auto"/>
          <w:sz w:val="24"/>
          <w:szCs w:val="24"/>
        </w:rPr>
        <w:t>,具有同等法律效力。</w:t>
      </w:r>
    </w:p>
    <w:p w14:paraId="4EEE24E5">
      <w:pPr>
        <w:kinsoku/>
        <w:autoSpaceDE/>
        <w:autoSpaceDN/>
        <w:adjustRightInd/>
        <w:snapToGrid/>
        <w:spacing w:line="360" w:lineRule="auto"/>
        <w:ind w:firstLine="480" w:firstLineChars="200"/>
        <w:contextualSpacing/>
        <w:jc w:val="both"/>
        <w:textAlignment w:val="auto"/>
        <w:rPr>
          <w:rFonts w:ascii="楷体" w:hAnsi="楷体" w:eastAsia="楷体"/>
          <w:color w:val="auto"/>
          <w:sz w:val="24"/>
          <w:szCs w:val="24"/>
        </w:rPr>
      </w:pPr>
      <w:r>
        <w:rPr>
          <w:rFonts w:hint="eastAsia" w:ascii="楷体" w:hAnsi="楷体" w:eastAsia="楷体"/>
          <w:color w:val="auto"/>
          <w:sz w:val="24"/>
          <w:szCs w:val="24"/>
        </w:rPr>
        <w:t>3.本协议经双方签署后生效。</w:t>
      </w:r>
    </w:p>
    <w:p w14:paraId="66407FF1">
      <w:pPr>
        <w:kinsoku/>
        <w:autoSpaceDE/>
        <w:autoSpaceDN/>
        <w:adjustRightInd/>
        <w:snapToGrid/>
        <w:spacing w:line="360" w:lineRule="auto"/>
        <w:ind w:firstLine="480" w:firstLineChars="200"/>
        <w:contextualSpacing/>
        <w:jc w:val="both"/>
        <w:textAlignment w:val="auto"/>
        <w:rPr>
          <w:rFonts w:ascii="楷体" w:hAnsi="楷体" w:eastAsia="楷体"/>
          <w:color w:val="auto"/>
          <w:sz w:val="24"/>
          <w:szCs w:val="24"/>
        </w:rPr>
      </w:pPr>
    </w:p>
    <w:p w14:paraId="5614829D">
      <w:pPr>
        <w:kinsoku/>
        <w:autoSpaceDE/>
        <w:autoSpaceDN/>
        <w:adjustRightInd/>
        <w:snapToGrid/>
        <w:spacing w:line="360" w:lineRule="auto"/>
        <w:ind w:firstLine="480" w:firstLineChars="200"/>
        <w:contextualSpacing/>
        <w:jc w:val="both"/>
        <w:textAlignment w:val="auto"/>
        <w:rPr>
          <w:rFonts w:ascii="楷体" w:hAnsi="楷体" w:eastAsia="楷体"/>
          <w:color w:val="auto"/>
          <w:sz w:val="24"/>
          <w:szCs w:val="24"/>
        </w:rPr>
      </w:pPr>
      <w:r>
        <w:rPr>
          <w:rFonts w:hint="eastAsia" w:ascii="楷体" w:hAnsi="楷体" w:eastAsia="楷体"/>
          <w:color w:val="auto"/>
          <w:sz w:val="24"/>
          <w:szCs w:val="24"/>
        </w:rPr>
        <w:t>甲方（盖章）：                      乙方（盖章）：</w:t>
      </w:r>
      <w:r>
        <w:rPr>
          <w:rFonts w:ascii="楷体" w:hAnsi="楷体" w:eastAsia="楷体"/>
          <w:color w:val="auto"/>
          <w:sz w:val="24"/>
          <w:szCs w:val="24"/>
        </w:rPr>
        <w:t xml:space="preserve"> </w:t>
      </w:r>
    </w:p>
    <w:p w14:paraId="59F8F2C5">
      <w:pPr>
        <w:kinsoku/>
        <w:autoSpaceDE/>
        <w:autoSpaceDN/>
        <w:adjustRightInd/>
        <w:snapToGrid/>
        <w:spacing w:line="360" w:lineRule="auto"/>
        <w:ind w:firstLine="480" w:firstLineChars="200"/>
        <w:contextualSpacing/>
        <w:jc w:val="both"/>
        <w:textAlignment w:val="auto"/>
        <w:rPr>
          <w:rFonts w:ascii="楷体" w:hAnsi="楷体" w:eastAsia="楷体"/>
          <w:color w:val="auto"/>
          <w:sz w:val="24"/>
          <w:szCs w:val="24"/>
        </w:rPr>
      </w:pPr>
      <w:r>
        <w:rPr>
          <w:rFonts w:hint="eastAsia" w:ascii="楷体" w:hAnsi="楷体" w:eastAsia="楷体"/>
          <w:color w:val="auto"/>
          <w:sz w:val="24"/>
          <w:szCs w:val="24"/>
        </w:rPr>
        <w:t>法定代表人（授权代表）：</w:t>
      </w:r>
      <w:r>
        <w:rPr>
          <w:rFonts w:hint="eastAsia" w:ascii="楷体" w:hAnsi="楷体" w:eastAsia="楷体"/>
          <w:color w:val="auto"/>
          <w:sz w:val="24"/>
          <w:szCs w:val="24"/>
        </w:rPr>
        <w:tab/>
      </w:r>
      <w:r>
        <w:rPr>
          <w:rFonts w:hint="eastAsia" w:ascii="楷体" w:hAnsi="楷体" w:eastAsia="楷体"/>
          <w:color w:val="auto"/>
          <w:sz w:val="24"/>
          <w:szCs w:val="24"/>
        </w:rPr>
        <w:tab/>
      </w:r>
      <w:r>
        <w:rPr>
          <w:rFonts w:hint="eastAsia" w:ascii="楷体" w:hAnsi="楷体" w:eastAsia="楷体"/>
          <w:color w:val="auto"/>
          <w:sz w:val="24"/>
          <w:szCs w:val="24"/>
        </w:rPr>
        <w:t xml:space="preserve">  </w:t>
      </w:r>
      <w:r>
        <w:rPr>
          <w:rFonts w:hint="eastAsia" w:ascii="楷体" w:hAnsi="楷体" w:eastAsia="楷体"/>
          <w:color w:val="auto"/>
          <w:sz w:val="24"/>
          <w:szCs w:val="24"/>
        </w:rPr>
        <w:tab/>
      </w:r>
      <w:r>
        <w:rPr>
          <w:rFonts w:hint="eastAsia" w:ascii="楷体" w:hAnsi="楷体" w:eastAsia="楷体"/>
          <w:color w:val="auto"/>
          <w:sz w:val="24"/>
          <w:szCs w:val="24"/>
        </w:rPr>
        <w:t xml:space="preserve">   法定代表人（授权代表）：</w:t>
      </w:r>
    </w:p>
    <w:p w14:paraId="14036EC5">
      <w:pPr>
        <w:kinsoku/>
        <w:autoSpaceDE/>
        <w:autoSpaceDN/>
        <w:adjustRightInd/>
        <w:snapToGrid/>
        <w:spacing w:line="360" w:lineRule="auto"/>
        <w:ind w:firstLine="480" w:firstLineChars="200"/>
        <w:contextualSpacing/>
        <w:jc w:val="both"/>
        <w:textAlignment w:val="auto"/>
        <w:rPr>
          <w:rFonts w:hint="eastAsia" w:eastAsia="黑体"/>
          <w:color w:val="000000"/>
          <w:sz w:val="28"/>
          <w:szCs w:val="44"/>
        </w:rPr>
      </w:pPr>
      <w:r>
        <w:rPr>
          <w:rFonts w:hint="eastAsia" w:ascii="楷体" w:hAnsi="楷体" w:eastAsia="楷体"/>
          <w:color w:val="auto"/>
          <w:sz w:val="24"/>
          <w:szCs w:val="24"/>
        </w:rPr>
        <w:t>签约日期：</w:t>
      </w:r>
      <w:r>
        <w:rPr>
          <w:rFonts w:hint="eastAsia" w:ascii="楷体" w:hAnsi="楷体" w:eastAsia="楷体"/>
          <w:color w:val="auto"/>
          <w:sz w:val="24"/>
          <w:szCs w:val="24"/>
          <w:lang w:val="en-US" w:eastAsia="zh-CN"/>
        </w:rPr>
        <w:t>2024</w:t>
      </w:r>
      <w:r>
        <w:rPr>
          <w:rFonts w:hint="eastAsia" w:ascii="楷体" w:hAnsi="楷体" w:eastAsia="楷体"/>
          <w:color w:val="auto"/>
          <w:sz w:val="24"/>
          <w:szCs w:val="24"/>
        </w:rPr>
        <w:t>年   月   日</w:t>
      </w:r>
      <w:bookmarkStart w:id="6" w:name="现场签证通知单"/>
      <w:bookmarkEnd w:id="6"/>
      <w:bookmarkStart w:id="7" w:name="设计变更通知单"/>
      <w:bookmarkEnd w:id="7"/>
      <w:r>
        <w:rPr>
          <w:rFonts w:ascii="楷体" w:hAnsi="楷体" w:eastAsia="楷体"/>
          <w:color w:val="auto"/>
          <w:sz w:val="24"/>
          <w:szCs w:val="24"/>
        </w:rPr>
        <w:tab/>
      </w:r>
      <w:r>
        <w:rPr>
          <w:rFonts w:ascii="楷体" w:hAnsi="楷体" w:eastAsia="楷体"/>
          <w:color w:val="auto"/>
          <w:sz w:val="24"/>
          <w:szCs w:val="24"/>
        </w:rPr>
        <w:t xml:space="preserve">    </w:t>
      </w:r>
      <w:r>
        <w:rPr>
          <w:rFonts w:hint="eastAsia" w:ascii="楷体" w:hAnsi="楷体" w:eastAsia="楷体"/>
          <w:color w:val="auto"/>
          <w:sz w:val="24"/>
          <w:szCs w:val="24"/>
        </w:rPr>
        <w:t xml:space="preserve">   签约日期：   年   月   日</w:t>
      </w:r>
    </w:p>
    <w:sectPr>
      <w:headerReference r:id="rId3" w:type="default"/>
      <w:footerReference r:id="rId4" w:type="default"/>
      <w:pgSz w:w="11907" w:h="16840"/>
      <w:pgMar w:top="1531" w:right="1588" w:bottom="1418" w:left="1418" w:header="851" w:footer="1191" w:gutter="0"/>
      <w:cols w:space="720" w:num="1"/>
      <w:docGrid w:type="linesAndChars" w:linePitch="33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1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etaPlusLF">
    <w:altName w:val="Segoe Print"/>
    <w:panose1 w:val="00000000000000000000"/>
    <w:charset w:val="00"/>
    <w:family w:val="auto"/>
    <w:pitch w:val="default"/>
    <w:sig w:usb0="00000000" w:usb1="00000000" w:usb2="00000000" w:usb3="00000000" w:csb0="00000097"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44EE36">
    <w:pPr>
      <w:pStyle w:val="9"/>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FB8B3A">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FFB8B3A">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C6492B">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7A5297"/>
    <w:multiLevelType w:val="multilevel"/>
    <w:tmpl w:val="F87A5297"/>
    <w:lvl w:ilvl="0" w:tentative="0">
      <w:start w:val="1"/>
      <w:numFmt w:val="chineseCounting"/>
      <w:suff w:val="nothing"/>
      <w:lvlText w:val="（%1）"/>
      <w:lvlJc w:val="left"/>
      <w:pPr>
        <w:ind w:left="0" w:firstLine="4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27809BA5"/>
    <w:multiLevelType w:val="multilevel"/>
    <w:tmpl w:val="27809BA5"/>
    <w:lvl w:ilvl="0" w:tentative="0">
      <w:start w:val="1"/>
      <w:numFmt w:val="chineseCounting"/>
      <w:suff w:val="nothing"/>
      <w:lvlText w:val="（%1）"/>
      <w:lvlJc w:val="left"/>
      <w:pPr>
        <w:ind w:left="0" w:firstLine="4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I2OWZjMzFhMTkyMDAyODA3ZTFjMTFjMjllMjRlNjUifQ=="/>
  </w:docVars>
  <w:rsids>
    <w:rsidRoot w:val="239F6B93"/>
    <w:rsid w:val="005C4D57"/>
    <w:rsid w:val="00683042"/>
    <w:rsid w:val="009449F7"/>
    <w:rsid w:val="00A35E71"/>
    <w:rsid w:val="00C86170"/>
    <w:rsid w:val="00D3526E"/>
    <w:rsid w:val="00D77988"/>
    <w:rsid w:val="00DF4DA2"/>
    <w:rsid w:val="00F11A56"/>
    <w:rsid w:val="04B563EF"/>
    <w:rsid w:val="04CA1777"/>
    <w:rsid w:val="055B1A9B"/>
    <w:rsid w:val="07623294"/>
    <w:rsid w:val="086109FA"/>
    <w:rsid w:val="0C284D4C"/>
    <w:rsid w:val="0F7B2B68"/>
    <w:rsid w:val="11CE52CC"/>
    <w:rsid w:val="137912FC"/>
    <w:rsid w:val="13E82649"/>
    <w:rsid w:val="14063C69"/>
    <w:rsid w:val="18987A99"/>
    <w:rsid w:val="18BB493F"/>
    <w:rsid w:val="18E02FB3"/>
    <w:rsid w:val="1B1B527C"/>
    <w:rsid w:val="1CB9095F"/>
    <w:rsid w:val="1EF7F299"/>
    <w:rsid w:val="213845A4"/>
    <w:rsid w:val="233743BF"/>
    <w:rsid w:val="239F6B93"/>
    <w:rsid w:val="2540611D"/>
    <w:rsid w:val="255D3999"/>
    <w:rsid w:val="256B3A79"/>
    <w:rsid w:val="284B247D"/>
    <w:rsid w:val="2AA3452D"/>
    <w:rsid w:val="2AEC1AFB"/>
    <w:rsid w:val="2E9440F3"/>
    <w:rsid w:val="31AC0DC2"/>
    <w:rsid w:val="334E4D34"/>
    <w:rsid w:val="36DA6091"/>
    <w:rsid w:val="375223CF"/>
    <w:rsid w:val="37DF236E"/>
    <w:rsid w:val="38A144AD"/>
    <w:rsid w:val="39B70652"/>
    <w:rsid w:val="3D69058F"/>
    <w:rsid w:val="3DE40B3D"/>
    <w:rsid w:val="3E217FB1"/>
    <w:rsid w:val="3EF01CE1"/>
    <w:rsid w:val="41071F5B"/>
    <w:rsid w:val="44055A1B"/>
    <w:rsid w:val="44464B07"/>
    <w:rsid w:val="4AAF1338"/>
    <w:rsid w:val="4B0156BB"/>
    <w:rsid w:val="4E2C7326"/>
    <w:rsid w:val="4F3925E5"/>
    <w:rsid w:val="4FE854A2"/>
    <w:rsid w:val="503C338F"/>
    <w:rsid w:val="50813882"/>
    <w:rsid w:val="50D87629"/>
    <w:rsid w:val="5164282F"/>
    <w:rsid w:val="56292713"/>
    <w:rsid w:val="591019A4"/>
    <w:rsid w:val="5A9603F1"/>
    <w:rsid w:val="5AA201DF"/>
    <w:rsid w:val="5BB00E72"/>
    <w:rsid w:val="5C7165E1"/>
    <w:rsid w:val="5C7B1749"/>
    <w:rsid w:val="6284492C"/>
    <w:rsid w:val="63423E70"/>
    <w:rsid w:val="63D94330"/>
    <w:rsid w:val="63DB4518"/>
    <w:rsid w:val="67D81A5C"/>
    <w:rsid w:val="68871922"/>
    <w:rsid w:val="6BE66F22"/>
    <w:rsid w:val="6C995EC2"/>
    <w:rsid w:val="6CA65E33"/>
    <w:rsid w:val="6CBE33A9"/>
    <w:rsid w:val="6D8E7915"/>
    <w:rsid w:val="6EB81764"/>
    <w:rsid w:val="6FAE5899"/>
    <w:rsid w:val="721B72C2"/>
    <w:rsid w:val="739676CE"/>
    <w:rsid w:val="775649E6"/>
    <w:rsid w:val="78EE6B97"/>
    <w:rsid w:val="7D6E21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name="Plain Text"/>
    <w:lsdException w:unhideWhenUsed="0" w:uiPriority="0" w:semiHidden="0" w:name="E-mail Signature"/>
    <w:lsdException w:qFormat="1" w:unhideWhenUsed="0"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autoRedefine/>
    <w:qFormat/>
    <w:uiPriority w:val="9"/>
    <w:pPr>
      <w:keepNext/>
      <w:keepLines/>
      <w:spacing w:before="340" w:after="330" w:line="578" w:lineRule="auto"/>
      <w:outlineLvl w:val="0"/>
    </w:pPr>
    <w:rPr>
      <w:b/>
      <w:bCs/>
      <w:kern w:val="44"/>
      <w:sz w:val="44"/>
      <w:szCs w:val="44"/>
    </w:rPr>
  </w:style>
  <w:style w:type="character" w:default="1" w:styleId="16">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99"/>
    <w:pPr>
      <w:spacing w:after="120"/>
    </w:pPr>
  </w:style>
  <w:style w:type="paragraph" w:styleId="4">
    <w:name w:val="toa heading"/>
    <w:basedOn w:val="1"/>
    <w:next w:val="1"/>
    <w:autoRedefine/>
    <w:unhideWhenUsed/>
    <w:qFormat/>
    <w:uiPriority w:val="99"/>
    <w:rPr>
      <w:rFonts w:ascii="Arial" w:hAnsi="Arial"/>
      <w:sz w:val="24"/>
    </w:rPr>
  </w:style>
  <w:style w:type="paragraph" w:styleId="5">
    <w:name w:val="annotation text"/>
    <w:basedOn w:val="1"/>
    <w:autoRedefine/>
    <w:qFormat/>
    <w:uiPriority w:val="0"/>
    <w:pPr>
      <w:jc w:val="left"/>
    </w:pPr>
  </w:style>
  <w:style w:type="paragraph" w:styleId="6">
    <w:name w:val="Body Text Indent"/>
    <w:basedOn w:val="1"/>
    <w:next w:val="7"/>
    <w:autoRedefine/>
    <w:semiHidden/>
    <w:unhideWhenUsed/>
    <w:qFormat/>
    <w:uiPriority w:val="99"/>
    <w:pPr>
      <w:spacing w:after="120"/>
      <w:ind w:left="420" w:leftChars="200"/>
    </w:pPr>
  </w:style>
  <w:style w:type="paragraph" w:styleId="7">
    <w:name w:val="envelope return"/>
    <w:basedOn w:val="1"/>
    <w:autoRedefine/>
    <w:qFormat/>
    <w:uiPriority w:val="0"/>
  </w:style>
  <w:style w:type="paragraph" w:styleId="8">
    <w:name w:val="Plain Text"/>
    <w:basedOn w:val="1"/>
    <w:autoRedefine/>
    <w:semiHidden/>
    <w:qFormat/>
    <w:uiPriority w:val="0"/>
    <w:rPr>
      <w:rFonts w:ascii="宋体" w:hAnsi="Courier New"/>
      <w:szCs w:val="20"/>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autoRedefine/>
    <w:semiHidden/>
    <w:qFormat/>
    <w:uiPriority w:val="99"/>
    <w:pPr>
      <w:widowControl/>
      <w:spacing w:before="100" w:beforeAutospacing="1" w:after="100" w:afterAutospacing="1"/>
      <w:jc w:val="left"/>
    </w:pPr>
    <w:rPr>
      <w:rFonts w:ascii="宋体" w:hAnsi="宋体" w:cs="宋体"/>
      <w:kern w:val="0"/>
      <w:sz w:val="24"/>
      <w:szCs w:val="24"/>
    </w:rPr>
  </w:style>
  <w:style w:type="paragraph" w:styleId="12">
    <w:name w:val="Body Text First Indent"/>
    <w:basedOn w:val="2"/>
    <w:autoRedefine/>
    <w:qFormat/>
    <w:uiPriority w:val="99"/>
    <w:pPr>
      <w:widowControl/>
      <w:ind w:firstLine="420" w:firstLineChars="100"/>
    </w:pPr>
    <w:rPr>
      <w:rFonts w:ascii="Calibri" w:hAnsi="Calibri" w:cs="宋体"/>
      <w:szCs w:val="22"/>
    </w:rPr>
  </w:style>
  <w:style w:type="paragraph" w:styleId="13">
    <w:name w:val="Body Text First Indent 2"/>
    <w:basedOn w:val="6"/>
    <w:autoRedefine/>
    <w:unhideWhenUsed/>
    <w:qFormat/>
    <w:uiPriority w:val="0"/>
    <w:pPr>
      <w:tabs>
        <w:tab w:val="left" w:pos="930"/>
      </w:tabs>
      <w:ind w:firstLine="420"/>
    </w:pPr>
    <w:rPr>
      <w:kern w:val="0"/>
      <w:sz w:val="20"/>
    </w:rPr>
  </w:style>
  <w:style w:type="table" w:styleId="15">
    <w:name w:val="Table Grid"/>
    <w:basedOn w:val="14"/>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autoRedefine/>
    <w:qFormat/>
    <w:uiPriority w:val="0"/>
    <w:rPr>
      <w:b/>
      <w:bCs/>
    </w:rPr>
  </w:style>
  <w:style w:type="character" w:styleId="18">
    <w:name w:val="FollowedHyperlink"/>
    <w:basedOn w:val="16"/>
    <w:autoRedefine/>
    <w:qFormat/>
    <w:uiPriority w:val="0"/>
    <w:rPr>
      <w:color w:val="800080"/>
      <w:u w:val="single"/>
    </w:rPr>
  </w:style>
  <w:style w:type="character" w:styleId="19">
    <w:name w:val="Hyperlink"/>
    <w:basedOn w:val="16"/>
    <w:autoRedefine/>
    <w:qFormat/>
    <w:uiPriority w:val="0"/>
    <w:rPr>
      <w:color w:val="0000FF"/>
      <w:u w:val="single"/>
    </w:rPr>
  </w:style>
  <w:style w:type="character" w:styleId="20">
    <w:name w:val="annotation reference"/>
    <w:basedOn w:val="16"/>
    <w:autoRedefine/>
    <w:qFormat/>
    <w:uiPriority w:val="0"/>
    <w:rPr>
      <w:sz w:val="21"/>
      <w:szCs w:val="21"/>
    </w:rPr>
  </w:style>
  <w:style w:type="paragraph" w:customStyle="1" w:styleId="21">
    <w:name w:val="Default"/>
    <w:autoRedefine/>
    <w:qFormat/>
    <w:uiPriority w:val="0"/>
    <w:pPr>
      <w:widowControl w:val="0"/>
      <w:autoSpaceDE w:val="0"/>
      <w:autoSpaceDN w:val="0"/>
      <w:adjustRightInd w:val="0"/>
    </w:pPr>
    <w:rPr>
      <w:rFonts w:ascii="MetaPlusLF" w:hAnsi="MetaPlusLF" w:eastAsia="宋体" w:cs="MetaPlusLF"/>
      <w:color w:val="000000"/>
      <w:sz w:val="24"/>
      <w:szCs w:val="24"/>
      <w:lang w:val="en-US" w:eastAsia="zh-CN" w:bidi="ar-SA"/>
    </w:rPr>
  </w:style>
  <w:style w:type="paragraph" w:customStyle="1" w:styleId="22">
    <w:name w:val="列出段落1"/>
    <w:basedOn w:val="1"/>
    <w:autoRedefine/>
    <w:qFormat/>
    <w:uiPriority w:val="99"/>
    <w:pPr>
      <w:ind w:firstLine="420" w:firstLineChars="200"/>
    </w:pPr>
  </w:style>
  <w:style w:type="paragraph" w:customStyle="1" w:styleId="23">
    <w:name w:val="正文缩进2格"/>
    <w:basedOn w:val="1"/>
    <w:autoRedefine/>
    <w:qFormat/>
    <w:uiPriority w:val="99"/>
    <w:pPr>
      <w:spacing w:line="600" w:lineRule="exact"/>
      <w:ind w:firstLine="639" w:firstLineChars="206"/>
    </w:pPr>
    <w:rPr>
      <w:rFonts w:ascii="仿宋_GB2312" w:hAnsi="宋体" w:eastAsia="仿宋_GB2312"/>
      <w:kern w:val="0"/>
      <w:sz w:val="31"/>
      <w:szCs w:val="31"/>
    </w:rPr>
  </w:style>
  <w:style w:type="paragraph" w:styleId="24">
    <w:name w:val="List Paragraph"/>
    <w:basedOn w:val="1"/>
    <w:autoRedefine/>
    <w:qFormat/>
    <w:uiPriority w:val="34"/>
    <w:pPr>
      <w:ind w:firstLine="420" w:firstLineChars="200"/>
    </w:pPr>
  </w:style>
  <w:style w:type="paragraph" w:customStyle="1" w:styleId="25">
    <w:name w:val="表格内容"/>
    <w:next w:val="1"/>
    <w:autoRedefine/>
    <w:qFormat/>
    <w:uiPriority w:val="0"/>
    <w:pPr>
      <w:spacing w:line="360" w:lineRule="auto"/>
      <w:jc w:val="center"/>
    </w:pPr>
    <w:rPr>
      <w:rFonts w:ascii="Times New Roman" w:hAnsi="Times New Roman" w:eastAsiaTheme="minorEastAsia" w:cstheme="minorBidi"/>
      <w:kern w:val="2"/>
      <w:position w:val="-3"/>
      <w:sz w:val="21"/>
      <w:szCs w:val="21"/>
      <w:lang w:val="en-US" w:eastAsia="zh-CN" w:bidi="ar-SA"/>
    </w:rPr>
  </w:style>
  <w:style w:type="character" w:customStyle="1" w:styleId="26">
    <w:name w:val="style21"/>
    <w:autoRedefine/>
    <w:qFormat/>
    <w:uiPriority w:val="0"/>
    <w:rPr>
      <w:color w:val="3F7FBF"/>
    </w:rPr>
  </w:style>
  <w:style w:type="character" w:customStyle="1" w:styleId="27">
    <w:name w:val="font71"/>
    <w:basedOn w:val="16"/>
    <w:autoRedefine/>
    <w:qFormat/>
    <w:uiPriority w:val="0"/>
    <w:rPr>
      <w:rFonts w:hint="default" w:ascii="Times New Roman" w:hAnsi="Times New Roman" w:cs="Times New Roman"/>
      <w:color w:val="000000"/>
      <w:sz w:val="20"/>
      <w:szCs w:val="20"/>
      <w:u w:val="none"/>
      <w:vertAlign w:val="superscript"/>
    </w:rPr>
  </w:style>
  <w:style w:type="character" w:customStyle="1" w:styleId="28">
    <w:name w:val="font41"/>
    <w:basedOn w:val="16"/>
    <w:autoRedefine/>
    <w:qFormat/>
    <w:uiPriority w:val="0"/>
    <w:rPr>
      <w:rFonts w:hint="default" w:ascii="Times New Roman" w:hAnsi="Times New Roman" w:cs="Times New Roman"/>
      <w:color w:val="000000"/>
      <w:sz w:val="20"/>
      <w:szCs w:val="20"/>
      <w:u w:val="none"/>
    </w:rPr>
  </w:style>
  <w:style w:type="character" w:customStyle="1" w:styleId="29">
    <w:name w:val="font51"/>
    <w:basedOn w:val="16"/>
    <w:autoRedefine/>
    <w:qFormat/>
    <w:uiPriority w:val="0"/>
    <w:rPr>
      <w:rFonts w:hint="eastAsia" w:ascii="宋体" w:hAnsi="宋体" w:eastAsia="宋体" w:cs="宋体"/>
      <w:color w:val="000000"/>
      <w:sz w:val="20"/>
      <w:szCs w:val="20"/>
      <w:u w:val="none"/>
    </w:rPr>
  </w:style>
  <w:style w:type="character" w:customStyle="1" w:styleId="30">
    <w:name w:val="font21"/>
    <w:basedOn w:val="16"/>
    <w:autoRedefine/>
    <w:qFormat/>
    <w:uiPriority w:val="0"/>
    <w:rPr>
      <w:rFonts w:hint="default" w:ascii="Times New Roman" w:hAnsi="Times New Roman" w:cs="Times New Roman"/>
      <w:color w:val="000000"/>
      <w:sz w:val="24"/>
      <w:szCs w:val="24"/>
      <w:u w:val="none"/>
    </w:rPr>
  </w:style>
  <w:style w:type="character" w:customStyle="1" w:styleId="31">
    <w:name w:val="font31"/>
    <w:basedOn w:val="16"/>
    <w:autoRedefine/>
    <w:qFormat/>
    <w:uiPriority w:val="0"/>
    <w:rPr>
      <w:rFonts w:hint="default" w:ascii="Times New Roman" w:hAnsi="Times New Roman" w:cs="Times New Roman"/>
      <w:color w:val="000000"/>
      <w:sz w:val="22"/>
      <w:szCs w:val="22"/>
      <w:u w:val="none"/>
      <w:vertAlign w:val="subscript"/>
    </w:rPr>
  </w:style>
  <w:style w:type="character" w:customStyle="1" w:styleId="32">
    <w:name w:val="font01"/>
    <w:basedOn w:val="16"/>
    <w:autoRedefine/>
    <w:qFormat/>
    <w:uiPriority w:val="0"/>
    <w:rPr>
      <w:rFonts w:hint="eastAsia" w:ascii="宋体" w:hAnsi="宋体" w:eastAsia="宋体" w:cs="宋体"/>
      <w:color w:val="000000"/>
      <w:sz w:val="22"/>
      <w:szCs w:val="22"/>
      <w:u w:val="none"/>
    </w:rPr>
  </w:style>
  <w:style w:type="character" w:customStyle="1" w:styleId="33">
    <w:name w:val="font61"/>
    <w:basedOn w:val="16"/>
    <w:autoRedefine/>
    <w:qFormat/>
    <w:uiPriority w:val="0"/>
    <w:rPr>
      <w:rFonts w:hint="default" w:ascii="Times New Roman" w:hAnsi="Times New Roman" w:cs="Times New Roman"/>
      <w:color w:val="000000"/>
      <w:sz w:val="22"/>
      <w:szCs w:val="22"/>
      <w:u w:val="none"/>
      <w:vertAlign w:val="superscript"/>
    </w:rPr>
  </w:style>
  <w:style w:type="paragraph" w:customStyle="1" w:styleId="34">
    <w:name w:val="修订1"/>
    <w:autoRedefine/>
    <w:hidden/>
    <w:unhideWhenUsed/>
    <w:qFormat/>
    <w:uiPriority w:val="99"/>
    <w:rPr>
      <w:rFonts w:ascii="Times New Roman" w:hAnsi="Times New Roman" w:eastAsia="宋体" w:cs="Times New Roman"/>
      <w:kern w:val="2"/>
      <w:sz w:val="21"/>
      <w:lang w:val="en-US" w:eastAsia="zh-CN" w:bidi="ar-SA"/>
    </w:rPr>
  </w:style>
  <w:style w:type="paragraph" w:customStyle="1" w:styleId="35">
    <w:name w:val="样式1"/>
    <w:basedOn w:val="1"/>
    <w:autoRedefine/>
    <w:qFormat/>
    <w:uiPriority w:val="0"/>
    <w:pPr>
      <w:spacing w:line="560" w:lineRule="exact"/>
      <w:ind w:firstLine="640" w:firstLineChars="200"/>
    </w:pPr>
    <w:rPr>
      <w:rFonts w:eastAsia="仿宋"/>
      <w:color w:val="000000" w:themeColor="text1"/>
      <w:sz w:val="32"/>
      <w:szCs w:val="32"/>
      <w14:textFill>
        <w14:solidFill>
          <w14:schemeClr w14:val="tx1"/>
        </w14:solidFill>
      </w14:textFill>
    </w:rPr>
  </w:style>
  <w:style w:type="character" w:customStyle="1" w:styleId="36">
    <w:name w:val="font11"/>
    <w:basedOn w:val="16"/>
    <w:autoRedefine/>
    <w:qFormat/>
    <w:uiPriority w:val="0"/>
    <w:rPr>
      <w:rFonts w:hint="eastAsia" w:ascii="楷体" w:hAnsi="楷体" w:eastAsia="楷体" w:cs="楷体"/>
      <w:b/>
      <w:bCs/>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7.png"/><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44</Pages>
  <Words>21316</Words>
  <Characters>22934</Characters>
  <Lines>199</Lines>
  <Paragraphs>56</Paragraphs>
  <TotalTime>21</TotalTime>
  <ScaleCrop>false</ScaleCrop>
  <LinksUpToDate>false</LinksUpToDate>
  <CharactersWithSpaces>23455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2024-01-04T15:50:00Z</dcterms:created>
  <dc:creator>途中</dc:creator>
  <cp:lastModifiedBy> </cp:lastModifiedBy>
  <cp:lastPrinted>2024-10-29T08:43:26Z</cp:lastPrinted>
  <dcterms:modified xsi:type="dcterms:W3CDTF">2024-10-29T08:43:33Z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91F2A52438624004817B28D8E4D8FD04_13</vt:lpwstr>
  </property>
</Properties>
</file>